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F8" w:rsidRPr="006124E5" w:rsidRDefault="00B178F8" w:rsidP="00B178F8">
      <w:pPr>
        <w:spacing w:after="0" w:line="360" w:lineRule="auto"/>
        <w:jc w:val="both"/>
        <w:rPr>
          <w:rFonts w:ascii="Times New Roman" w:hAnsi="Times New Roman"/>
        </w:rPr>
      </w:pPr>
    </w:p>
    <w:p w:rsidR="00B178F8" w:rsidRDefault="00B178F8" w:rsidP="00B178F8">
      <w:pPr>
        <w:spacing w:after="0" w:line="360" w:lineRule="auto"/>
        <w:ind w:left="5664"/>
        <w:jc w:val="right"/>
        <w:rPr>
          <w:rFonts w:ascii="Times New Roman" w:hAnsi="Times New Roman"/>
        </w:rPr>
      </w:pPr>
      <w:r w:rsidRPr="006124E5">
        <w:rPr>
          <w:rFonts w:ascii="Times New Roman" w:hAnsi="Times New Roman"/>
        </w:rPr>
        <w:t xml:space="preserve">Warszawa, dnia </w:t>
      </w:r>
      <w:r w:rsidR="004D2919">
        <w:rPr>
          <w:rFonts w:ascii="Times New Roman" w:hAnsi="Times New Roman"/>
        </w:rPr>
        <w:t>27</w:t>
      </w:r>
      <w:r w:rsidRPr="006124E5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6124E5">
        <w:rPr>
          <w:rFonts w:ascii="Times New Roman" w:hAnsi="Times New Roman"/>
        </w:rPr>
        <w:t>.2021 r.</w:t>
      </w:r>
    </w:p>
    <w:p w:rsidR="000A35D9" w:rsidRPr="006124E5" w:rsidRDefault="000A35D9" w:rsidP="00B178F8">
      <w:pPr>
        <w:spacing w:after="0" w:line="360" w:lineRule="auto"/>
        <w:ind w:left="5664"/>
        <w:jc w:val="right"/>
        <w:rPr>
          <w:rFonts w:ascii="Times New Roman" w:hAnsi="Times New Roman"/>
        </w:rPr>
      </w:pPr>
    </w:p>
    <w:p w:rsidR="00B178F8" w:rsidRPr="006124E5" w:rsidRDefault="00B178F8" w:rsidP="00B178F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DZP-361-111</w:t>
      </w:r>
      <w:r w:rsidRPr="006124E5">
        <w:rPr>
          <w:rFonts w:ascii="Times New Roman" w:hAnsi="Times New Roman"/>
        </w:rPr>
        <w:t>/2021</w:t>
      </w:r>
      <w:r>
        <w:rPr>
          <w:rFonts w:ascii="Times New Roman" w:hAnsi="Times New Roman"/>
        </w:rPr>
        <w:t>/IG/</w:t>
      </w:r>
      <w:r w:rsidR="004D2919">
        <w:rPr>
          <w:rFonts w:ascii="Times New Roman" w:hAnsi="Times New Roman"/>
        </w:rPr>
        <w:t>695</w:t>
      </w:r>
      <w:bookmarkStart w:id="0" w:name="_GoBack"/>
      <w:bookmarkEnd w:id="0"/>
    </w:p>
    <w:p w:rsidR="00B178F8" w:rsidRPr="006124E5" w:rsidRDefault="00B178F8" w:rsidP="00B178F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b/>
        </w:rPr>
      </w:pPr>
    </w:p>
    <w:p w:rsidR="00B178F8" w:rsidRPr="006124E5" w:rsidRDefault="00B178F8" w:rsidP="000A35D9">
      <w:pPr>
        <w:shd w:val="clear" w:color="auto" w:fill="FFFFFF"/>
        <w:spacing w:after="0" w:line="360" w:lineRule="auto"/>
        <w:ind w:left="5664"/>
        <w:jc w:val="right"/>
        <w:rPr>
          <w:rFonts w:ascii="Times New Roman" w:hAnsi="Times New Roman"/>
          <w:b/>
        </w:rPr>
      </w:pPr>
      <w:r w:rsidRPr="006124E5">
        <w:rPr>
          <w:rFonts w:ascii="Times New Roman" w:hAnsi="Times New Roman"/>
          <w:b/>
        </w:rPr>
        <w:t xml:space="preserve">Do wszystkich </w:t>
      </w:r>
      <w:r w:rsidR="000A35D9">
        <w:rPr>
          <w:rFonts w:ascii="Times New Roman" w:hAnsi="Times New Roman"/>
          <w:b/>
        </w:rPr>
        <w:t>zainteresowanych</w:t>
      </w:r>
    </w:p>
    <w:p w:rsidR="00B178F8" w:rsidRPr="006124E5" w:rsidRDefault="00B178F8" w:rsidP="00B178F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b/>
        </w:rPr>
      </w:pPr>
    </w:p>
    <w:p w:rsidR="00780019" w:rsidRDefault="00780019" w:rsidP="00780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</w:p>
    <w:p w:rsidR="00780019" w:rsidRPr="00780019" w:rsidRDefault="00780019" w:rsidP="007800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80019">
        <w:rPr>
          <w:rFonts w:ascii="Times New Roman" w:eastAsia="Calibri" w:hAnsi="Times New Roman"/>
          <w:lang w:eastAsia="en-US"/>
        </w:rPr>
        <w:t xml:space="preserve">Dotyczy przetargu nieograniczonego nr DZP-361-111/2021 na </w:t>
      </w:r>
      <w:r w:rsidRPr="00780019">
        <w:rPr>
          <w:rFonts w:ascii="Times New Roman" w:hAnsi="Times New Roman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B178F8" w:rsidRPr="006124E5" w:rsidRDefault="00B178F8" w:rsidP="00B178F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178F8" w:rsidRPr="006124E5" w:rsidRDefault="00B178F8" w:rsidP="0030701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6124E5">
        <w:rPr>
          <w:rFonts w:ascii="Times New Roman" w:hAnsi="Times New Roman"/>
          <w:b/>
          <w:color w:val="000000" w:themeColor="text1"/>
        </w:rPr>
        <w:t xml:space="preserve">Zestaw </w:t>
      </w:r>
      <w:r>
        <w:rPr>
          <w:rFonts w:ascii="Times New Roman" w:hAnsi="Times New Roman"/>
          <w:b/>
          <w:color w:val="000000" w:themeColor="text1"/>
        </w:rPr>
        <w:t>1</w:t>
      </w:r>
    </w:p>
    <w:p w:rsidR="00B178F8" w:rsidRPr="006124E5" w:rsidRDefault="00B178F8" w:rsidP="0030701D">
      <w:pPr>
        <w:spacing w:after="0" w:line="360" w:lineRule="auto"/>
        <w:jc w:val="both"/>
        <w:rPr>
          <w:rFonts w:ascii="Times New Roman" w:hAnsi="Times New Roman"/>
        </w:rPr>
      </w:pPr>
      <w:r w:rsidRPr="006124E5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08.10</w:t>
      </w:r>
      <w:r w:rsidRPr="006124E5">
        <w:rPr>
          <w:rFonts w:ascii="Times New Roman" w:hAnsi="Times New Roman"/>
        </w:rPr>
        <w:t>.2021 r. jeden z Wykonawców zwrócił się do Zamawiającego z wnioskiem o wyjaśnienie treści specyfikacji warunków zamówienia</w:t>
      </w:r>
      <w:r>
        <w:rPr>
          <w:rFonts w:ascii="Times New Roman" w:hAnsi="Times New Roman"/>
        </w:rPr>
        <w:t>.</w:t>
      </w:r>
    </w:p>
    <w:p w:rsidR="00B178F8" w:rsidRPr="006124E5" w:rsidRDefault="00B178F8" w:rsidP="0030701D">
      <w:pPr>
        <w:spacing w:after="0" w:line="360" w:lineRule="auto"/>
        <w:jc w:val="both"/>
        <w:rPr>
          <w:rFonts w:ascii="Times New Roman" w:hAnsi="Times New Roman"/>
        </w:rPr>
      </w:pPr>
    </w:p>
    <w:p w:rsidR="00B178F8" w:rsidRDefault="00B178F8" w:rsidP="0030701D">
      <w:pPr>
        <w:spacing w:after="0" w:line="360" w:lineRule="auto"/>
        <w:jc w:val="both"/>
        <w:rPr>
          <w:rFonts w:ascii="Times New Roman" w:hAnsi="Times New Roman"/>
        </w:rPr>
      </w:pPr>
      <w:r w:rsidRPr="006124E5">
        <w:rPr>
          <w:rFonts w:ascii="Times New Roman" w:hAnsi="Times New Roman"/>
        </w:rPr>
        <w:t>Pytania:</w:t>
      </w:r>
    </w:p>
    <w:p w:rsidR="00B178F8" w:rsidRPr="00B178F8" w:rsidRDefault="00B178F8" w:rsidP="00B178F8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B178F8">
        <w:rPr>
          <w:rFonts w:ascii="Times New Roman" w:hAnsi="Times New Roman"/>
        </w:rPr>
        <w:t>W przedmiarach nie zawarto wyposażenia, które zostało opisane w „Projekcie wnętrz i wyposażenia wraz z księgą pomieszczeń” oraz wrysowane na rysunku A.W.01, które stanowią część projektu wykonawczego. Proszę o informację czy wyposażenie opisane w/w dokumentami wchodzi w zakres zadania.</w:t>
      </w:r>
    </w:p>
    <w:p w:rsidR="00B178F8" w:rsidRPr="00B178F8" w:rsidRDefault="00B178F8" w:rsidP="00B178F8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B178F8">
        <w:rPr>
          <w:rFonts w:ascii="Times New Roman" w:hAnsi="Times New Roman"/>
        </w:rPr>
        <w:t>Brak w OPZ podanych ilości elementów wyposażenia – akcesoriów sanitarnych, które są opisane w „Projekcie wnętrz i wyposażenia wraz z księgą pomieszczeń” pkt. 1.1.2, brak oznaczeń na rysunkach. Proszę o podanie ilości w/w elementów, które należy przyjąć do wyceny.</w:t>
      </w:r>
    </w:p>
    <w:p w:rsidR="00B178F8" w:rsidRPr="00B178F8" w:rsidRDefault="00B178F8" w:rsidP="00B178F8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B178F8">
        <w:rPr>
          <w:rFonts w:ascii="Times New Roman" w:hAnsi="Times New Roman"/>
        </w:rPr>
        <w:t xml:space="preserve">W „Projekcie wnętrz i wyposażenia wraz z księgą pomieszczeń”, strona 20, tabela dla pom. P.03, w kolumnie z typami wyposażenia wpisano symbole P1 i P2, które zgodnie z zestawieniem materiałów (rozdz. 1) oznaczają odpowiednio P1 – płytki </w:t>
      </w:r>
      <w:proofErr w:type="spellStart"/>
      <w:r w:rsidRPr="00B178F8">
        <w:rPr>
          <w:rFonts w:ascii="Times New Roman" w:hAnsi="Times New Roman"/>
        </w:rPr>
        <w:t>gresowe</w:t>
      </w:r>
      <w:proofErr w:type="spellEnd"/>
      <w:r w:rsidRPr="00B178F8">
        <w:rPr>
          <w:rFonts w:ascii="Times New Roman" w:hAnsi="Times New Roman"/>
        </w:rPr>
        <w:t xml:space="preserve">, P2 – panele drewniane (wykończenie posadzek znajduje się również w tabeli w części dotyczącej sposobu wykończenia). Zgodnie z rysunkiem w w/w tabeli oraz rys. A.W.01 w tym pomieszczeniu występuje wyposażenie o symbolach PU1 i PU2, które nie zostało uwzględnione w typach wyposażenia, a których ilości pokrywają się z tymi dla symboli P1 (ilość PU1 zgadza się z </w:t>
      </w:r>
      <w:r w:rsidRPr="00B178F8">
        <w:rPr>
          <w:rFonts w:ascii="Times New Roman" w:hAnsi="Times New Roman"/>
        </w:rPr>
        <w:lastRenderedPageBreak/>
        <w:t>ilością sztuk przypisaną do symbolu P1) i P2 (ilość PU2 zgadza się z ilością sztuk przypisaną do symbolu P2). Proszę o potwierdzenie, że w tabeli wystąpiła omyłka pisarska i że do wyceny należy przyjąć pufy PU1 i PU2 a nie wykończenia posadzek.</w:t>
      </w:r>
    </w:p>
    <w:p w:rsidR="00B178F8" w:rsidRPr="00B178F8" w:rsidRDefault="00B178F8" w:rsidP="00B178F8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B178F8">
        <w:rPr>
          <w:rFonts w:ascii="Times New Roman" w:hAnsi="Times New Roman"/>
        </w:rPr>
        <w:t>Brak szczegółowej specyfikacji zabudowy kuchennej AK1, brak wyszczególnionych ilości poszczególnych elementów zabudowy, ich budowy, wymiarów, wyposażenia oraz dokładnej specyfikacji materiałów, wykończenia i okuć.</w:t>
      </w:r>
    </w:p>
    <w:p w:rsidR="00B178F8" w:rsidRPr="00B178F8" w:rsidRDefault="00B178F8" w:rsidP="00B178F8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B178F8">
        <w:rPr>
          <w:rFonts w:ascii="Times New Roman" w:hAnsi="Times New Roman"/>
        </w:rPr>
        <w:t>Przypominamy, że zgodnie z przepisami prawa (Rozporządzenie Ministra Infrastruktury w sprawie bezpieczeństwa i higieny pracy podczas wykonywania robót budowlanych) rozdz. 15</w:t>
      </w:r>
      <w:r w:rsidR="0030701D">
        <w:rPr>
          <w:rFonts w:ascii="Times New Roman" w:hAnsi="Times New Roman"/>
        </w:rPr>
        <w:t xml:space="preserve"> </w:t>
      </w:r>
      <w:r w:rsidRPr="00B178F8">
        <w:rPr>
          <w:rFonts w:ascii="Times New Roman" w:hAnsi="Times New Roman"/>
        </w:rPr>
        <w:t>§ 216 „Przebywanie  osób  na  górnych  płaszczyznach  śc</w:t>
      </w:r>
      <w:r w:rsidR="0030701D">
        <w:rPr>
          <w:rFonts w:ascii="Times New Roman" w:hAnsi="Times New Roman"/>
        </w:rPr>
        <w:t>ian,  belek,  słupów,  ram  lub</w:t>
      </w:r>
      <w:r w:rsidRPr="00B178F8">
        <w:rPr>
          <w:rFonts w:ascii="Times New Roman" w:hAnsi="Times New Roman"/>
        </w:rPr>
        <w:t xml:space="preserve"> kratownic</w:t>
      </w:r>
      <w:r w:rsidR="0030701D">
        <w:rPr>
          <w:rFonts w:ascii="Times New Roman" w:hAnsi="Times New Roman"/>
        </w:rPr>
        <w:t xml:space="preserve"> </w:t>
      </w:r>
      <w:r w:rsidRPr="00B178F8">
        <w:rPr>
          <w:rFonts w:ascii="Times New Roman" w:hAnsi="Times New Roman"/>
        </w:rPr>
        <w:t xml:space="preserve">oraz  na  dwóch  niższych kondygnacjach, znajdujących się bezpośrednio pod kondygnacją, na której są prowadzone roboty montażowe, jest zabronione” oraz </w:t>
      </w:r>
      <w:r w:rsidR="0030701D">
        <w:rPr>
          <w:rFonts w:ascii="Times New Roman" w:hAnsi="Times New Roman"/>
        </w:rPr>
        <w:br/>
      </w:r>
      <w:r w:rsidRPr="00B178F8">
        <w:rPr>
          <w:rFonts w:ascii="Times New Roman" w:hAnsi="Times New Roman"/>
        </w:rPr>
        <w:t>rozdz. 18  § 242 „W</w:t>
      </w:r>
      <w:r w:rsidR="0030701D">
        <w:rPr>
          <w:rFonts w:ascii="Times New Roman" w:hAnsi="Times New Roman"/>
        </w:rPr>
        <w:t xml:space="preserve"> czasie </w:t>
      </w:r>
      <w:r w:rsidRPr="00B178F8">
        <w:rPr>
          <w:rFonts w:ascii="Times New Roman" w:hAnsi="Times New Roman"/>
        </w:rPr>
        <w:t>prowadzenia</w:t>
      </w:r>
      <w:r w:rsidR="0030701D">
        <w:rPr>
          <w:rFonts w:ascii="Times New Roman" w:hAnsi="Times New Roman"/>
        </w:rPr>
        <w:t xml:space="preserve"> </w:t>
      </w:r>
      <w:r w:rsidRPr="00B178F8">
        <w:rPr>
          <w:rFonts w:ascii="Times New Roman" w:hAnsi="Times New Roman"/>
        </w:rPr>
        <w:t>robót</w:t>
      </w:r>
      <w:r w:rsidR="0030701D">
        <w:rPr>
          <w:rFonts w:ascii="Times New Roman" w:hAnsi="Times New Roman"/>
        </w:rPr>
        <w:t xml:space="preserve"> rozbiórkowych przebywanie ludzi  na</w:t>
      </w:r>
      <w:r w:rsidRPr="00B178F8">
        <w:rPr>
          <w:rFonts w:ascii="Times New Roman" w:hAnsi="Times New Roman"/>
        </w:rPr>
        <w:t xml:space="preserve"> niże</w:t>
      </w:r>
      <w:r w:rsidR="0030701D">
        <w:rPr>
          <w:rFonts w:ascii="Times New Roman" w:hAnsi="Times New Roman"/>
        </w:rPr>
        <w:t>j</w:t>
      </w:r>
      <w:r w:rsidRPr="00B178F8">
        <w:rPr>
          <w:rFonts w:ascii="Times New Roman" w:hAnsi="Times New Roman"/>
        </w:rPr>
        <w:t xml:space="preserve"> położonych</w:t>
      </w:r>
      <w:r w:rsidR="0030701D">
        <w:rPr>
          <w:rFonts w:ascii="Times New Roman" w:hAnsi="Times New Roman"/>
        </w:rPr>
        <w:t xml:space="preserve"> kondygnacjach</w:t>
      </w:r>
      <w:r w:rsidRPr="00B178F8">
        <w:rPr>
          <w:rFonts w:ascii="Times New Roman" w:hAnsi="Times New Roman"/>
        </w:rPr>
        <w:t xml:space="preserve"> jest zabronione”. Zakres robót objętych postępowaniem obejmuje zarówno roboty rozbiórkowe jak i montażowe wielkogabarytowych konstrukcji stalowych, a także inne roboty konstrukcyjne, które będą zagrażać osobom przebywającym na niższych kondygnacjach (m.in. wzmacnianie stropów), a które będą trwały przez pierwszych kilka miesięcy realizacji. Czy Zamawiający uwzględnił powyższe przepisy przy planowaniu inwestycji?</w:t>
      </w:r>
    </w:p>
    <w:p w:rsidR="00B178F8" w:rsidRPr="00B178F8" w:rsidRDefault="00B178F8" w:rsidP="00B178F8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B178F8">
        <w:rPr>
          <w:rFonts w:ascii="Times New Roman" w:hAnsi="Times New Roman"/>
        </w:rPr>
        <w:t>Przy wykonywaniu wzmocnienia stropów należy podeprzeć odciążone sklepienia. Czy Zamawiający na czas tych prac zabezpieczy pomieszczenia na kondygnacji poniżej wykonywanych robót?</w:t>
      </w:r>
    </w:p>
    <w:p w:rsidR="00B178F8" w:rsidRPr="00B178F8" w:rsidRDefault="00B178F8" w:rsidP="00B178F8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</w:rPr>
      </w:pPr>
      <w:r w:rsidRPr="00B178F8">
        <w:rPr>
          <w:rFonts w:ascii="Times New Roman" w:hAnsi="Times New Roman"/>
        </w:rPr>
        <w:t>Czy Termin Zakończenia Robót jest to termin zgłoszenia gotowości do odbioru przez Wykonawcę, czy to termin podpisania protokołu odbioru końcowego?</w:t>
      </w:r>
    </w:p>
    <w:p w:rsidR="00B178F8" w:rsidRDefault="00B178F8" w:rsidP="00B178F8">
      <w:pPr>
        <w:spacing w:before="120" w:after="0" w:line="240" w:lineRule="auto"/>
        <w:jc w:val="both"/>
        <w:rPr>
          <w:rFonts w:ascii="Times New Roman" w:hAnsi="Times New Roman"/>
        </w:rPr>
      </w:pPr>
    </w:p>
    <w:p w:rsidR="00B178F8" w:rsidRDefault="00B178F8" w:rsidP="00B178F8">
      <w:pPr>
        <w:spacing w:before="120" w:after="0" w:line="240" w:lineRule="auto"/>
        <w:jc w:val="both"/>
        <w:rPr>
          <w:rFonts w:ascii="Times New Roman" w:hAnsi="Times New Roman"/>
        </w:rPr>
      </w:pPr>
      <w:r w:rsidRPr="000A35D9">
        <w:rPr>
          <w:rFonts w:ascii="Times New Roman" w:hAnsi="Times New Roman"/>
        </w:rPr>
        <w:t>Odpowiedzi:</w:t>
      </w:r>
    </w:p>
    <w:p w:rsidR="00182909" w:rsidRPr="000A35D9" w:rsidRDefault="00182909" w:rsidP="00B178F8">
      <w:pPr>
        <w:spacing w:before="120" w:after="0" w:line="240" w:lineRule="auto"/>
        <w:jc w:val="both"/>
        <w:rPr>
          <w:rFonts w:ascii="Times New Roman" w:hAnsi="Times New Roman"/>
        </w:rPr>
      </w:pPr>
    </w:p>
    <w:p w:rsidR="000A35D9" w:rsidRPr="000A35D9" w:rsidRDefault="00182909" w:rsidP="00182909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 1</w:t>
      </w:r>
      <w:r>
        <w:rPr>
          <w:rFonts w:ascii="Times New Roman" w:hAnsi="Times New Roman"/>
        </w:rPr>
        <w:tab/>
        <w:t>Zgodnie z Projektowanymi postanowieniami umowy (dalej „PPU”)</w:t>
      </w:r>
      <w:r w:rsidR="00142D37">
        <w:rPr>
          <w:rFonts w:ascii="Times New Roman" w:hAnsi="Times New Roman"/>
        </w:rPr>
        <w:t xml:space="preserve"> § 1 ust. 40</w:t>
      </w:r>
      <w:r w:rsidR="000A35D9" w:rsidRPr="000A35D9">
        <w:rPr>
          <w:rFonts w:ascii="Times New Roman" w:hAnsi="Times New Roman"/>
        </w:rPr>
        <w:t xml:space="preserve"> wypos</w:t>
      </w:r>
      <w:r w:rsidR="000A35D9">
        <w:rPr>
          <w:rFonts w:ascii="Times New Roman" w:hAnsi="Times New Roman"/>
        </w:rPr>
        <w:t>ażenie ujęte w postępowaniu to „</w:t>
      </w:r>
      <w:r w:rsidR="000A35D9" w:rsidRPr="000A35D9">
        <w:rPr>
          <w:rFonts w:ascii="Times New Roman" w:hAnsi="Times New Roman"/>
        </w:rPr>
        <w:t>nowe wyposażenie przewidziane w Obiekcie, ujęte w „Projekcie wnętrz i wyposażenia” wraz z „Księgą Pomieszczeń” rozdział 1 „Zestawienie materiałów” pkt 1.1 „Armatura i ceramika” oraz w pkt 1.2.1 „Wyposażenie stałe” posiadające wymagane przepisami Prawa budowlanego certyfikaty, aprobaty techniczne, atesty i dopuszczenia do stosowania w Polsce, w standardzie określonym w Umowie i Dokumentacji projektowej, a w przypadku braku stosownych wytycznych co do standardu, zgodne z przeznaczeniem i celem, do k</w:t>
      </w:r>
      <w:r w:rsidR="000A35D9">
        <w:rPr>
          <w:rFonts w:ascii="Times New Roman" w:hAnsi="Times New Roman"/>
        </w:rPr>
        <w:t>tórego mają zostać zastosowane”.</w:t>
      </w:r>
    </w:p>
    <w:p w:rsidR="000A35D9" w:rsidRPr="000A35D9" w:rsidRDefault="000A35D9" w:rsidP="000A35D9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</w:rPr>
      </w:pPr>
      <w:r w:rsidRPr="000A35D9">
        <w:rPr>
          <w:rFonts w:ascii="Times New Roman" w:hAnsi="Times New Roman"/>
        </w:rPr>
        <w:t>Ad.</w:t>
      </w:r>
      <w:r w:rsidR="00142D37">
        <w:rPr>
          <w:rFonts w:ascii="Times New Roman" w:hAnsi="Times New Roman"/>
        </w:rPr>
        <w:t xml:space="preserve"> 2</w:t>
      </w:r>
      <w:r w:rsidR="00142D37">
        <w:rPr>
          <w:rFonts w:ascii="Times New Roman" w:hAnsi="Times New Roman"/>
        </w:rPr>
        <w:tab/>
        <w:t>Zgodnie z PPU § 1 ust. 40</w:t>
      </w:r>
      <w:r w:rsidRPr="000A35D9">
        <w:rPr>
          <w:rFonts w:ascii="Times New Roman" w:hAnsi="Times New Roman"/>
        </w:rPr>
        <w:t xml:space="preserve"> wypos</w:t>
      </w:r>
      <w:r>
        <w:rPr>
          <w:rFonts w:ascii="Times New Roman" w:hAnsi="Times New Roman"/>
        </w:rPr>
        <w:t>ażenie ujęte w postępowaniu to „</w:t>
      </w:r>
      <w:r w:rsidRPr="000A35D9">
        <w:rPr>
          <w:rFonts w:ascii="Times New Roman" w:hAnsi="Times New Roman"/>
        </w:rPr>
        <w:t xml:space="preserve">nowe wyposażenie przewidziane w Obiekcie, ujęte w „Projekcie wnętrz i wyposażenia” wraz z „Księgą Pomieszczeń” rozdział 1 „Zestawienie materiałów” pkt 1.1 „Armatura i ceramika” oraz w pkt 1.2.1 „Wyposażenie stałe” posiadające wymagane przepisami Prawa budowlanego certyfikaty, </w:t>
      </w:r>
      <w:r w:rsidRPr="000A35D9">
        <w:rPr>
          <w:rFonts w:ascii="Times New Roman" w:hAnsi="Times New Roman"/>
        </w:rPr>
        <w:lastRenderedPageBreak/>
        <w:t>aprobaty techniczne, atesty i dopuszczenia do stosowania w Polsce, w standardzie określonym w Umowie i Dokumentacji projektowej, a w przypadku braku stosownych wytycznych co do standardu, zgodne z przeznaczeniem i celem, do k</w:t>
      </w:r>
      <w:r>
        <w:rPr>
          <w:rFonts w:ascii="Times New Roman" w:hAnsi="Times New Roman"/>
        </w:rPr>
        <w:t xml:space="preserve">tórego mają zostać zastosowane” </w:t>
      </w:r>
      <w:r w:rsidRPr="000A35D9">
        <w:rPr>
          <w:rFonts w:ascii="Times New Roman" w:hAnsi="Times New Roman"/>
        </w:rPr>
        <w:t>- ilości należy przyjąć zgodnie z dokumentacją projektową z uwzględnieniem powyższej definicji.</w:t>
      </w:r>
    </w:p>
    <w:p w:rsidR="000A35D9" w:rsidRPr="000A35D9" w:rsidRDefault="000A35D9" w:rsidP="000A35D9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</w:rPr>
      </w:pPr>
      <w:r w:rsidRPr="000A35D9">
        <w:rPr>
          <w:rFonts w:ascii="Times New Roman" w:hAnsi="Times New Roman"/>
        </w:rPr>
        <w:t>Ad. 3</w:t>
      </w:r>
      <w:r w:rsidRPr="000A35D9">
        <w:rPr>
          <w:rFonts w:ascii="Times New Roman" w:hAnsi="Times New Roman"/>
        </w:rPr>
        <w:tab/>
        <w:t xml:space="preserve">Podłogi w pomieszczeniu należy przyjąć zgodnie z rysunkiem A.6.02. </w:t>
      </w:r>
    </w:p>
    <w:p w:rsidR="000A35D9" w:rsidRPr="000A35D9" w:rsidRDefault="000A35D9" w:rsidP="000A35D9">
      <w:pPr>
        <w:shd w:val="clear" w:color="auto" w:fill="FFFFFF"/>
        <w:spacing w:after="0" w:line="360" w:lineRule="auto"/>
        <w:ind w:left="709" w:hanging="1"/>
        <w:jc w:val="both"/>
        <w:rPr>
          <w:rFonts w:ascii="Times New Roman" w:hAnsi="Times New Roman"/>
        </w:rPr>
      </w:pPr>
      <w:r w:rsidRPr="000A35D9">
        <w:rPr>
          <w:rFonts w:ascii="Times New Roman" w:hAnsi="Times New Roman"/>
        </w:rPr>
        <w:t>Zgodnie z PPU</w:t>
      </w:r>
      <w:r w:rsidR="00142D37">
        <w:rPr>
          <w:rFonts w:ascii="Times New Roman" w:hAnsi="Times New Roman"/>
        </w:rPr>
        <w:t xml:space="preserve"> § 1 ust. 40</w:t>
      </w:r>
      <w:r w:rsidRPr="000A35D9">
        <w:rPr>
          <w:rFonts w:ascii="Times New Roman" w:hAnsi="Times New Roman"/>
        </w:rPr>
        <w:t xml:space="preserve"> wypos</w:t>
      </w:r>
      <w:r>
        <w:rPr>
          <w:rFonts w:ascii="Times New Roman" w:hAnsi="Times New Roman"/>
        </w:rPr>
        <w:t>ażenie ujęte w postępowaniu to „</w:t>
      </w:r>
      <w:r w:rsidRPr="000A35D9">
        <w:rPr>
          <w:rFonts w:ascii="Times New Roman" w:hAnsi="Times New Roman"/>
        </w:rPr>
        <w:t>nowe wyposażenie przewidziane w Obiekcie, ujęte w „Projekcie wnętrz i wyposażenia” wraz z „Księgą Pomieszczeń” rozdział 1 „Zestawienie materiałów” pkt 1.1 „Armatura i ceramika” oraz w pkt 1.2.1 „Wyposażenie stałe” posiadające wymagane przepisami Prawa budowlanego certyfikaty, aprobaty techniczne, atesty i dopuszczenia do stosowania w Polsce, w standardzie określonym w Umowie i Dokumentacji projektowej, a w przypadku braku stosownych wytycznych co do standardu, zgodne z przeznaczeniem i celem, do k</w:t>
      </w:r>
      <w:r>
        <w:rPr>
          <w:rFonts w:ascii="Times New Roman" w:hAnsi="Times New Roman"/>
        </w:rPr>
        <w:t>tórego mają zostać zastosowane”.</w:t>
      </w:r>
    </w:p>
    <w:p w:rsidR="000A35D9" w:rsidRPr="000A35D9" w:rsidRDefault="000A35D9" w:rsidP="000A35D9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</w:rPr>
      </w:pPr>
      <w:r w:rsidRPr="000A35D9">
        <w:rPr>
          <w:rFonts w:ascii="Times New Roman" w:hAnsi="Times New Roman"/>
        </w:rPr>
        <w:t>Ad. 4</w:t>
      </w:r>
      <w:r w:rsidRPr="000A35D9">
        <w:rPr>
          <w:rFonts w:ascii="Times New Roman" w:hAnsi="Times New Roman"/>
        </w:rPr>
        <w:tab/>
        <w:t>Wykonać zgodnie z kładem aneksu kuchennego- rys. A.7.04 – lokalizacja pomieszczenie P.02 zgodnie z rzutem lokalizacja aneksu</w:t>
      </w:r>
      <w:r>
        <w:rPr>
          <w:rFonts w:ascii="Times New Roman" w:hAnsi="Times New Roman"/>
        </w:rPr>
        <w:t>.</w:t>
      </w:r>
    </w:p>
    <w:p w:rsidR="000A35D9" w:rsidRPr="000A35D9" w:rsidRDefault="000A35D9" w:rsidP="000A35D9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5 </w:t>
      </w:r>
      <w:r>
        <w:rPr>
          <w:rFonts w:ascii="Times New Roman" w:hAnsi="Times New Roman"/>
        </w:rPr>
        <w:tab/>
        <w:t>Odpowiedź</w:t>
      </w:r>
      <w:r w:rsidRPr="000A35D9">
        <w:rPr>
          <w:rFonts w:ascii="Times New Roman" w:hAnsi="Times New Roman"/>
        </w:rPr>
        <w:t xml:space="preserve"> na pytanie </w:t>
      </w:r>
      <w:r>
        <w:rPr>
          <w:rFonts w:ascii="Times New Roman" w:hAnsi="Times New Roman"/>
        </w:rPr>
        <w:t xml:space="preserve">zostanie udzielona </w:t>
      </w:r>
      <w:r w:rsidRPr="000A35D9">
        <w:rPr>
          <w:rFonts w:ascii="Times New Roman" w:hAnsi="Times New Roman"/>
        </w:rPr>
        <w:t>w późniejszym terminie.</w:t>
      </w:r>
      <w:r w:rsidRPr="000A35D9">
        <w:rPr>
          <w:rFonts w:ascii="Times New Roman" w:hAnsi="Times New Roman"/>
        </w:rPr>
        <w:tab/>
      </w:r>
    </w:p>
    <w:p w:rsidR="000A35D9" w:rsidRPr="000A35D9" w:rsidRDefault="000A35D9" w:rsidP="000A35D9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</w:rPr>
      </w:pPr>
      <w:r w:rsidRPr="000A35D9">
        <w:rPr>
          <w:rFonts w:ascii="Times New Roman" w:hAnsi="Times New Roman"/>
        </w:rPr>
        <w:t>Ad. 6</w:t>
      </w:r>
      <w:r w:rsidRPr="000A35D9">
        <w:rPr>
          <w:rFonts w:ascii="Times New Roman" w:hAnsi="Times New Roman"/>
        </w:rPr>
        <w:tab/>
      </w:r>
      <w:r w:rsidRPr="000A35D9">
        <w:rPr>
          <w:rFonts w:ascii="Times New Roman" w:hAnsi="Times New Roman"/>
          <w:iCs/>
        </w:rPr>
        <w:t>Zgodnie z Umową (§ 7 ust. 11 oraz § 8) Generalny Wykonawca jest odpowiedzialny za ochronę i zabezpieczenie mienia (m.in. mienia Zamawiającego oraz osób trzecich) przed uszkodzeniem, zabrudzeniem oraz zniszczeniem, od dnia przekazania Terenu budowy do czasu przekazania Inwestycji Zamawiającemu</w:t>
      </w:r>
      <w:r>
        <w:rPr>
          <w:rFonts w:ascii="Times New Roman" w:hAnsi="Times New Roman"/>
          <w:iCs/>
        </w:rPr>
        <w:t>.</w:t>
      </w:r>
    </w:p>
    <w:p w:rsidR="000A35D9" w:rsidRPr="000A35D9" w:rsidRDefault="000A35D9" w:rsidP="000A35D9">
      <w:pPr>
        <w:spacing w:after="0" w:line="360" w:lineRule="auto"/>
        <w:ind w:left="709" w:hanging="709"/>
        <w:jc w:val="both"/>
        <w:rPr>
          <w:rFonts w:ascii="Times New Roman" w:hAnsi="Times New Roman"/>
          <w:iCs/>
        </w:rPr>
      </w:pPr>
      <w:r w:rsidRPr="000A35D9">
        <w:rPr>
          <w:rFonts w:ascii="Times New Roman" w:hAnsi="Times New Roman"/>
        </w:rPr>
        <w:t>Ad. 7</w:t>
      </w:r>
      <w:r w:rsidRPr="000A35D9">
        <w:rPr>
          <w:rFonts w:ascii="Times New Roman" w:hAnsi="Times New Roman"/>
        </w:rPr>
        <w:tab/>
      </w:r>
      <w:r w:rsidRPr="000A35D9">
        <w:rPr>
          <w:rFonts w:ascii="Times New Roman" w:hAnsi="Times New Roman"/>
          <w:iCs/>
        </w:rPr>
        <w:t>Termin  zakończenia  Robót, zgodnie z definicją zawartą w § 1 ust. 34 Umowy, odnosi się do  terminu, określonego w § 4 ust. 1 Umowy,</w:t>
      </w:r>
      <w:r>
        <w:rPr>
          <w:rFonts w:ascii="Times New Roman" w:hAnsi="Times New Roman"/>
          <w:iCs/>
        </w:rPr>
        <w:t xml:space="preserve"> do  upływu  którego  Generalny </w:t>
      </w:r>
      <w:r w:rsidRPr="000A35D9">
        <w:rPr>
          <w:rFonts w:ascii="Times New Roman" w:hAnsi="Times New Roman"/>
          <w:iCs/>
        </w:rPr>
        <w:t>Wyk</w:t>
      </w:r>
      <w:r>
        <w:rPr>
          <w:rFonts w:ascii="Times New Roman" w:hAnsi="Times New Roman"/>
          <w:iCs/>
        </w:rPr>
        <w:t xml:space="preserve">onawca zobowiązany jest (…) usunąć ewentualne Usterki wynikające z Protokołu </w:t>
      </w:r>
      <w:r w:rsidRPr="000A35D9">
        <w:rPr>
          <w:rFonts w:ascii="Times New Roman" w:hAnsi="Times New Roman"/>
          <w:iCs/>
        </w:rPr>
        <w:t>Odbioru  Końcowego. Termin zakończenia robót uwzględnia zatem podpisanie przez Strony Protokół Odbioru Końcowego (w przypadku bezusterkowego odbioru) lub Protokół Odbioru Końcowego stwierdzający usunięcie Usterek z niego wynikających.</w:t>
      </w:r>
    </w:p>
    <w:p w:rsidR="00B178F8" w:rsidRPr="000A35D9" w:rsidRDefault="00B178F8" w:rsidP="000A35D9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B178F8" w:rsidRPr="006124E5" w:rsidRDefault="00B178F8" w:rsidP="00B178F8">
      <w:pPr>
        <w:spacing w:before="120" w:after="0" w:line="240" w:lineRule="auto"/>
        <w:ind w:left="4111"/>
        <w:jc w:val="center"/>
        <w:rPr>
          <w:rFonts w:ascii="Times New Roman" w:hAnsi="Times New Roman"/>
          <w:i/>
        </w:rPr>
      </w:pPr>
      <w:r w:rsidRPr="006124E5">
        <w:rPr>
          <w:rFonts w:ascii="Times New Roman" w:hAnsi="Times New Roman"/>
          <w:i/>
        </w:rPr>
        <w:t>W imieniu Zamawiającego</w:t>
      </w:r>
    </w:p>
    <w:p w:rsidR="00B178F8" w:rsidRPr="006124E5" w:rsidRDefault="00B178F8" w:rsidP="00B178F8">
      <w:pPr>
        <w:spacing w:before="120" w:after="0" w:line="240" w:lineRule="auto"/>
        <w:ind w:left="4111"/>
        <w:jc w:val="center"/>
        <w:rPr>
          <w:rFonts w:ascii="Times New Roman" w:hAnsi="Times New Roman"/>
        </w:rPr>
      </w:pPr>
      <w:r w:rsidRPr="006124E5">
        <w:rPr>
          <w:rFonts w:ascii="Times New Roman" w:hAnsi="Times New Roman"/>
        </w:rPr>
        <w:t>Pełnomocnik Rektora ds. zamówień publicznych</w:t>
      </w:r>
    </w:p>
    <w:p w:rsidR="00B178F8" w:rsidRDefault="00B178F8" w:rsidP="00B178F8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hAnsi="Times New Roman"/>
        </w:rPr>
      </w:pPr>
    </w:p>
    <w:p w:rsidR="00B178F8" w:rsidRPr="006124E5" w:rsidRDefault="00B178F8" w:rsidP="00B178F8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hAnsi="Times New Roman"/>
        </w:rPr>
      </w:pPr>
    </w:p>
    <w:p w:rsidR="00B178F8" w:rsidRPr="006124E5" w:rsidRDefault="00B178F8" w:rsidP="00B178F8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mgr Piotr Skubera</w:t>
      </w:r>
    </w:p>
    <w:p w:rsidR="00B178F8" w:rsidRPr="006124E5" w:rsidRDefault="00B178F8" w:rsidP="00B178F8">
      <w:pPr>
        <w:spacing w:before="120" w:after="0" w:line="240" w:lineRule="auto"/>
        <w:jc w:val="both"/>
        <w:rPr>
          <w:rFonts w:ascii="Times New Roman" w:hAnsi="Times New Roman"/>
        </w:rPr>
      </w:pPr>
    </w:p>
    <w:p w:rsidR="00B178F8" w:rsidRPr="006124E5" w:rsidRDefault="00B178F8" w:rsidP="00B178F8">
      <w:pPr>
        <w:spacing w:before="120" w:after="0" w:line="240" w:lineRule="auto"/>
        <w:jc w:val="both"/>
        <w:rPr>
          <w:rFonts w:ascii="Times New Roman" w:hAnsi="Times New Roman"/>
        </w:rPr>
      </w:pPr>
    </w:p>
    <w:p w:rsidR="00B178F8" w:rsidRPr="006124E5" w:rsidRDefault="00B178F8" w:rsidP="00B178F8">
      <w:pPr>
        <w:spacing w:before="120" w:after="0" w:line="240" w:lineRule="auto"/>
        <w:jc w:val="both"/>
        <w:rPr>
          <w:rFonts w:ascii="Times New Roman" w:hAnsi="Times New Roman"/>
        </w:rPr>
      </w:pPr>
    </w:p>
    <w:p w:rsidR="00FF298B" w:rsidRDefault="00FF298B"/>
    <w:sectPr w:rsidR="00FF298B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F8" w:rsidRDefault="00B178F8" w:rsidP="00B178F8">
      <w:pPr>
        <w:spacing w:after="0" w:line="240" w:lineRule="auto"/>
      </w:pPr>
      <w:r>
        <w:separator/>
      </w:r>
    </w:p>
  </w:endnote>
  <w:endnote w:type="continuationSeparator" w:id="0">
    <w:p w:rsidR="00B178F8" w:rsidRDefault="00B178F8" w:rsidP="00B1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178F8" w:rsidRPr="000A35D9" w:rsidRDefault="00B178F8">
        <w:pPr>
          <w:pStyle w:val="Stopka"/>
          <w:jc w:val="right"/>
          <w:rPr>
            <w:rFonts w:ascii="Times New Roman" w:hAnsi="Times New Roman"/>
          </w:rPr>
        </w:pPr>
        <w:r w:rsidRPr="000A35D9">
          <w:rPr>
            <w:rFonts w:ascii="Times New Roman" w:hAnsi="Times New Roman"/>
          </w:rPr>
          <w:fldChar w:fldCharType="begin"/>
        </w:r>
        <w:r w:rsidRPr="000A35D9">
          <w:rPr>
            <w:rFonts w:ascii="Times New Roman" w:hAnsi="Times New Roman"/>
          </w:rPr>
          <w:instrText>PAGE   \* MERGEFORMAT</w:instrText>
        </w:r>
        <w:r w:rsidRPr="000A35D9">
          <w:rPr>
            <w:rFonts w:ascii="Times New Roman" w:hAnsi="Times New Roman"/>
          </w:rPr>
          <w:fldChar w:fldCharType="separate"/>
        </w:r>
        <w:r w:rsidR="004D2919">
          <w:rPr>
            <w:rFonts w:ascii="Times New Roman" w:hAnsi="Times New Roman"/>
            <w:noProof/>
          </w:rPr>
          <w:t>3</w:t>
        </w:r>
        <w:r w:rsidRPr="000A35D9">
          <w:rPr>
            <w:rFonts w:ascii="Times New Roman" w:hAnsi="Times New Roman"/>
          </w:rPr>
          <w:fldChar w:fldCharType="end"/>
        </w:r>
      </w:p>
    </w:sdtContent>
  </w:sdt>
  <w:p w:rsidR="00D24530" w:rsidRDefault="004D29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8B" w:rsidRDefault="004D2919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F8" w:rsidRDefault="00B178F8" w:rsidP="00B178F8">
      <w:pPr>
        <w:spacing w:after="0" w:line="240" w:lineRule="auto"/>
      </w:pPr>
      <w:r>
        <w:separator/>
      </w:r>
    </w:p>
  </w:footnote>
  <w:footnote w:type="continuationSeparator" w:id="0">
    <w:p w:rsidR="00B178F8" w:rsidRDefault="00B178F8" w:rsidP="00B1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B178F8">
    <w:pPr>
      <w:pStyle w:val="Nagwek"/>
    </w:pPr>
    <w:r>
      <w:rPr>
        <w:noProof/>
      </w:rPr>
      <w:drawing>
        <wp:inline distT="0" distB="0" distL="0" distR="0" wp14:anchorId="26CC1DC3" wp14:editId="7F9E783C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B178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1" w15:restartNumberingAfterBreak="0">
    <w:nsid w:val="4AE45D17"/>
    <w:multiLevelType w:val="hybridMultilevel"/>
    <w:tmpl w:val="A77A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F8"/>
    <w:rsid w:val="000A35D9"/>
    <w:rsid w:val="00142D37"/>
    <w:rsid w:val="00182909"/>
    <w:rsid w:val="00256B19"/>
    <w:rsid w:val="0030701D"/>
    <w:rsid w:val="004D2919"/>
    <w:rsid w:val="00780019"/>
    <w:rsid w:val="00B178F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56B1-4F33-4A2D-A26B-097E1F2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8F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B178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Akapit z list¹ Znak,Obiekt Znak,BulletC Znak,Akapit z listą31 Znak,NOWY Znak,Akapit z listą32 Znak,Akapit z listą3 Znak,List Paragraph1 Znak,List Paragraph Znak,Wyliczanie Znak,normalny Znak,Numerowanie Znak"/>
    <w:basedOn w:val="Domylnaczcionkaakapitu"/>
    <w:link w:val="Akapitzlist"/>
    <w:uiPriority w:val="34"/>
    <w:locked/>
    <w:rsid w:val="00B178F8"/>
    <w:rPr>
      <w:sz w:val="24"/>
      <w:szCs w:val="24"/>
    </w:rPr>
  </w:style>
  <w:style w:type="paragraph" w:styleId="Akapitzlist">
    <w:name w:val="List Paragraph"/>
    <w:aliases w:val="normalny tekst,Akapit z list¹,Obiekt,BulletC,Akapit z listą31,NOWY,Akapit z listą32,Akapit z listą3,List Paragraph1,List Paragraph,Wyliczanie,normalny,Numerowanie,Wypunktowanie,Nag 1,Akapit z listą11,Bullets,Kolorowa lista — akcent 11,L1"/>
    <w:basedOn w:val="Normalny"/>
    <w:link w:val="AkapitzlistZnak"/>
    <w:uiPriority w:val="34"/>
    <w:qFormat/>
    <w:rsid w:val="00B178F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17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6</cp:revision>
  <dcterms:created xsi:type="dcterms:W3CDTF">2021-10-26T10:11:00Z</dcterms:created>
  <dcterms:modified xsi:type="dcterms:W3CDTF">2021-10-27T07:28:00Z</dcterms:modified>
</cp:coreProperties>
</file>