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4A72" w14:textId="77777777" w:rsidR="002A30C7" w:rsidRDefault="0078764D">
      <w:pPr>
        <w:spacing w:before="60"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Załącznik nr 1 – SZCZEGÓŁOWY OPIS PRZEDMIOTU ZAMÓWIENIA – SPECYFIKACJA TECHNICZNA </w:t>
      </w:r>
    </w:p>
    <w:p w14:paraId="4EBE4A73" w14:textId="77777777" w:rsidR="002A30C7" w:rsidRDefault="0078764D">
      <w:pPr>
        <w:spacing w:before="60" w:after="60"/>
        <w:jc w:val="center"/>
        <w:rPr>
          <w:rFonts w:ascii="Times New Roman" w:eastAsia="Times New Roman" w:hAnsi="Times New Roman" w:cs="Times New Roman"/>
          <w:b/>
        </w:rPr>
      </w:pPr>
      <w:r>
        <w:rPr>
          <w:rFonts w:ascii="Times New Roman" w:eastAsia="Times New Roman" w:hAnsi="Times New Roman" w:cs="Times New Roman"/>
          <w:b/>
        </w:rPr>
        <w:t>System zabezpieczeń ruchu sieciowego</w:t>
      </w:r>
    </w:p>
    <w:p w14:paraId="4EBE4A74" w14:textId="77777777" w:rsidR="002A30C7" w:rsidRDefault="002A30C7">
      <w:pPr>
        <w:pBdr>
          <w:top w:val="nil"/>
          <w:left w:val="nil"/>
          <w:bottom w:val="nil"/>
          <w:right w:val="nil"/>
          <w:between w:val="nil"/>
        </w:pBdr>
        <w:spacing w:before="60" w:after="0"/>
        <w:ind w:left="2268"/>
        <w:jc w:val="both"/>
        <w:rPr>
          <w:rFonts w:ascii="Times New Roman" w:eastAsia="Times New Roman" w:hAnsi="Times New Roman" w:cs="Times New Roman"/>
          <w:color w:val="000000"/>
          <w:sz w:val="20"/>
          <w:szCs w:val="20"/>
        </w:rPr>
      </w:pPr>
    </w:p>
    <w:p w14:paraId="4EBE4A75" w14:textId="77777777" w:rsidR="002A30C7" w:rsidRDefault="0078764D">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Wymagania ogólne dla systemu zabezpieczeń ruchu sieciowego</w:t>
      </w:r>
    </w:p>
    <w:p w14:paraId="4EBE4A76" w14:textId="77777777" w:rsidR="002A30C7" w:rsidRDefault="002A30C7">
      <w:pPr>
        <w:pBdr>
          <w:top w:val="nil"/>
          <w:left w:val="nil"/>
          <w:bottom w:val="nil"/>
          <w:right w:val="nil"/>
          <w:between w:val="nil"/>
        </w:pBdr>
        <w:spacing w:after="0"/>
        <w:ind w:left="567"/>
        <w:rPr>
          <w:rFonts w:ascii="Times New Roman" w:eastAsia="Times New Roman" w:hAnsi="Times New Roman" w:cs="Times New Roman"/>
          <w:b/>
          <w:color w:val="000000"/>
          <w:sz w:val="20"/>
          <w:szCs w:val="20"/>
        </w:rPr>
      </w:pPr>
    </w:p>
    <w:p w14:paraId="4EBE4A77" w14:textId="08C43C35"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Przedmiotem zamówienia jest dostawa systemu zabezpieczeń ruchu sieciowego w postaci rozwiązań Next Generation Firewall (NGFW)</w:t>
      </w:r>
      <w:r w:rsidR="00A94499">
        <w:rPr>
          <w:rFonts w:ascii="Times New Roman" w:eastAsia="Times New Roman" w:hAnsi="Times New Roman" w:cs="Times New Roman"/>
          <w:color w:val="000000"/>
          <w:sz w:val="20"/>
          <w:szCs w:val="20"/>
        </w:rPr>
        <w:t>.</w:t>
      </w:r>
    </w:p>
    <w:p w14:paraId="4EBE4A78" w14:textId="04503368"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Całościowy system bezpieczeństwa musi być zrealizowany poprzez dwa urządzenia (firewalle). Zamawiający dopuszcza realizację systemu bezpieczeństwa tylko jako dwa urządzenia</w:t>
      </w:r>
      <w:r w:rsidR="00A9449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(firewalle) połączone w klaster </w:t>
      </w:r>
      <w:r>
        <w:rPr>
          <w:rFonts w:ascii="Times New Roman" w:eastAsia="Times New Roman" w:hAnsi="Times New Roman" w:cs="Times New Roman"/>
          <w:sz w:val="20"/>
          <w:szCs w:val="20"/>
        </w:rPr>
        <w:t>wysokiej dostępności</w:t>
      </w:r>
      <w:r w:rsidR="00A94499">
        <w:rPr>
          <w:rFonts w:ascii="Times New Roman" w:eastAsia="Times New Roman" w:hAnsi="Times New Roman" w:cs="Times New Roman"/>
          <w:sz w:val="20"/>
          <w:szCs w:val="20"/>
        </w:rPr>
        <w:t>.</w:t>
      </w:r>
    </w:p>
    <w:p w14:paraId="4EBE4A79"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Przedmiot zamówienia musi być fabrycznie nowy, nigdy wcześniej nie używany, pochodzący z legalnego kanału dystrybucyjnego, dopuszczony do obrotu, spełniający normy CE. </w:t>
      </w:r>
    </w:p>
    <w:p w14:paraId="4EBE4A7A" w14:textId="46DB6616" w:rsidR="002A30C7" w:rsidRDefault="0078764D">
      <w:pPr>
        <w:numPr>
          <w:ilvl w:val="2"/>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wymaga, aby zaoferowane urządzenia (firewalle) były dostępne i serwisowane przez Producenta oraz nie będą przez niego przewidziane do wycofania ze sprzedaży i wsparcia (ogłoszone tzw. dokumenty End-of-Sale lub End-of-Life lub równoważne)</w:t>
      </w:r>
      <w:r w:rsidR="00A94499">
        <w:rPr>
          <w:rFonts w:ascii="Times New Roman" w:eastAsia="Times New Roman" w:hAnsi="Times New Roman" w:cs="Times New Roman"/>
          <w:color w:val="000000"/>
          <w:sz w:val="20"/>
          <w:szCs w:val="20"/>
        </w:rPr>
        <w:t>.</w:t>
      </w:r>
    </w:p>
    <w:p w14:paraId="4EBE4A7B" w14:textId="77777777" w:rsidR="002A30C7" w:rsidRDefault="0078764D">
      <w:pPr>
        <w:numPr>
          <w:ilvl w:val="0"/>
          <w:numId w:val="1"/>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Wymagania dotyczące pojedynczego urządzenia typu firewall</w:t>
      </w:r>
    </w:p>
    <w:p w14:paraId="4EBE4A7C" w14:textId="77777777" w:rsidR="002A30C7" w:rsidRDefault="0078764D">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Wymagania dotyczące funkcjonalności zabezpieczeń:</w:t>
      </w:r>
    </w:p>
    <w:p w14:paraId="4EBE4A7D"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Każdy z interfejsów musi mieć możliwość pracy w co najmniej następujących trybach: L2 (bridge), L3 (router), TAP (pasywny sniffer ruchu) oraz tryb transparentny. </w:t>
      </w:r>
      <w:r>
        <w:rPr>
          <w:rFonts w:ascii="Times New Roman" w:eastAsia="Times New Roman" w:hAnsi="Times New Roman" w:cs="Times New Roman"/>
          <w:sz w:val="20"/>
          <w:szCs w:val="20"/>
        </w:rPr>
        <w:t xml:space="preserve">Działając </w:t>
      </w:r>
      <w:r>
        <w:rPr>
          <w:rFonts w:ascii="Times New Roman" w:eastAsia="Times New Roman" w:hAnsi="Times New Roman" w:cs="Times New Roman"/>
          <w:color w:val="000000"/>
          <w:sz w:val="20"/>
          <w:szCs w:val="20"/>
        </w:rPr>
        <w:t>w trybie transparentnym firewall nie może posiadać skonfigurowanych adresów IP na interfejsach sieciowych jak również nie może wprowadzać segmentacji sieci na odrębne domeny kolizyjne lub rozgłoszeniowe. Tryb transparentny musi umożliwiać analizę i filtrowanie przepuszczanego ruchu. Tryb pracy zabezpieczeń musi być ustalany w konfiguracji per interfejs. Musi istnieć możliwość jednoczesnej konfiguracji i pracy poszczególnych interfejsów sieciowych w różnych trybach.</w:t>
      </w:r>
    </w:p>
    <w:p w14:paraId="4EBE4A7E"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Firewall musi umożliwiać realizację zadania kontroli dostępu (filtracji ruchu sieciowego), wykonując kontrolę na poziomie warstwy sieciowej, transportowej oraz aplikacji. </w:t>
      </w:r>
    </w:p>
    <w:p w14:paraId="4EBE4A7F"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Reguły zabezpieczeń firewalla muszą uwzględniać co najmniej: strefy bezpieczeństwa, adresy IP źródłowe i docelowe, protokoły i usługi sieciowe, aplikacje, użytkowników aplikacji, reakcje zabezpieczeń, rejestrowanie zdarzeń i alarmowanie oraz zarządzanie pasma sieci (co najmniej: priorytet, pasmo gwarantowane, pasmo maksymalne, oznaczenia DiffServ).</w:t>
      </w:r>
    </w:p>
    <w:p w14:paraId="4EBE4A80" w14:textId="33564C1A"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Firewall musi umożliwiać identyfikację co najmniej 3000 różnych aplikacji, w tym aplikacji tunelowanych w protokołach HTTP i HTTPS, np.: </w:t>
      </w:r>
      <w:r w:rsidR="003B3452">
        <w:rPr>
          <w:rFonts w:ascii="Times New Roman" w:eastAsia="Times New Roman" w:hAnsi="Times New Roman" w:cs="Times New Roman"/>
          <w:color w:val="000000"/>
          <w:sz w:val="20"/>
          <w:szCs w:val="20"/>
        </w:rPr>
        <w:t xml:space="preserve">SAP, Zoom, Google Meet, Google Classroom, </w:t>
      </w:r>
      <w:r w:rsidR="005C6420">
        <w:rPr>
          <w:rFonts w:ascii="Times New Roman" w:eastAsia="Times New Roman" w:hAnsi="Times New Roman" w:cs="Times New Roman"/>
          <w:color w:val="000000"/>
          <w:sz w:val="20"/>
          <w:szCs w:val="20"/>
        </w:rPr>
        <w:t xml:space="preserve">Skype, Microsoft Update, Microsoft Samba v1/v2/v3, Microsoft Remote Desktop, </w:t>
      </w:r>
      <w:r w:rsidR="003B3452">
        <w:rPr>
          <w:rFonts w:ascii="Times New Roman" w:eastAsia="Times New Roman" w:hAnsi="Times New Roman" w:cs="Times New Roman"/>
          <w:color w:val="000000"/>
          <w:sz w:val="20"/>
          <w:szCs w:val="20"/>
        </w:rPr>
        <w:t>Tor, BitTorrent,</w:t>
      </w:r>
      <w:r>
        <w:rPr>
          <w:rFonts w:ascii="Times New Roman" w:eastAsia="Times New Roman" w:hAnsi="Times New Roman" w:cs="Times New Roman"/>
          <w:color w:val="000000"/>
          <w:sz w:val="20"/>
          <w:szCs w:val="20"/>
        </w:rPr>
        <w:t xml:space="preserve"> Facebook, Youtube</w:t>
      </w:r>
      <w:r w:rsidR="005C642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Zezwolenie dostępu do aplikacji musi odbywać się w regułach polityki firewall. </w:t>
      </w:r>
    </w:p>
    <w:p w14:paraId="4EBE4A81" w14:textId="08B5D39E"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A94499">
        <w:rPr>
          <w:rFonts w:ascii="Times New Roman" w:eastAsia="Times New Roman" w:hAnsi="Times New Roman" w:cs="Times New Roman"/>
          <w:color w:val="000000"/>
          <w:sz w:val="20"/>
          <w:szCs w:val="20"/>
        </w:rPr>
        <w:t>irewall musi umożliwiać ręczne tworzenie</w:t>
      </w:r>
      <w:r>
        <w:rPr>
          <w:rFonts w:ascii="Times New Roman" w:eastAsia="Times New Roman" w:hAnsi="Times New Roman" w:cs="Times New Roman"/>
          <w:color w:val="000000"/>
          <w:sz w:val="20"/>
          <w:szCs w:val="20"/>
        </w:rPr>
        <w:t xml:space="preserve"> sygnatur dla nowych aplikacji bezpośrednio na urządzeniu bez użycia zewnętrznych narzędzi i wsparcia producenta. </w:t>
      </w:r>
    </w:p>
    <w:p w14:paraId="4EBE4A82"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zarządzanie, kontrolę i wgląd w ruch nierozpoznany przez polityki identyfikacji.</w:t>
      </w:r>
    </w:p>
    <w:p w14:paraId="4EBE4A83"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identyfikowanie aplikacji bez względu na numery portów, protokoły tunelowania i szyfrowania (włącznie z Peer to Peer-P2P i IM-Instant Messaging). Identyfikacja aplikacji musi odbywać się co najmniej poprzez sygnatury i analizę heurystyczną. Należy założyć, że wszystkie aplikacje mogą występować na wszystkich 65 535 dostępnych portach.</w:t>
      </w:r>
    </w:p>
    <w:p w14:paraId="4EBE4A84" w14:textId="050EBD12"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uwierzytelnienie dwuskładnikowe (MFA - multi factor authentiaction) i zastosowanie tego mechanizmu w politykach.</w:t>
      </w:r>
      <w:r w:rsidR="00903C0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Polityki definiujące powinny umożliwiać wykorzystanie:</w:t>
      </w:r>
      <w:r w:rsidR="00903C0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adresów źródłowych, adresów docelowych, użytkowników, numerów portów usług, kategorie URL. System musi obsługiwać co najmniej następujące mechanizmy uwierzytelnienia RADIUS lub TACACS+, LDAP, SAML 2.0.</w:t>
      </w:r>
    </w:p>
    <w:p w14:paraId="4EBE4A85"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Możliwość rozbudowy (wyłącznie w oparciu o zakup licencji) o funkcjonalność analizy plików wykonywalnych (exe, dll) przechodzących przez firewall współpracując z zewnętrznym systemem utrzymywanym przez producenta w Internecie, </w:t>
      </w:r>
      <w:r>
        <w:rPr>
          <w:rFonts w:ascii="Times New Roman" w:eastAsia="Times New Roman" w:hAnsi="Times New Roman" w:cs="Times New Roman"/>
          <w:color w:val="000000"/>
          <w:sz w:val="20"/>
          <w:szCs w:val="20"/>
        </w:rPr>
        <w:lastRenderedPageBreak/>
        <w:t>który instaluje i uruchamia przesłane pliki w wirtualnym środowisku oraz sprawdza czy dany plik nie zachowuje się w złośliwy sposób (np. kasuje lub zaraża inne pliki, zmienia ustawienia komputera, nawiązuje komunikację zwrotną, otwiera porty, zmienia ustawienia usług systemowych, itp). System zewnętrzny, na podstawie przeprowadzonej analizy, musi aktualizować system firewall sygnaturami nowo wykrytych złośliwych plików i ewentualnej komunikacji zwrotnej generowanej przez złośliwy plik po zainstalowaniu na komputerze końcowym.</w:t>
      </w:r>
    </w:p>
    <w:p w14:paraId="4EBE4A86" w14:textId="58931B2C"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rozbudowy (wyłącznie w oparciu o zakup licencji) o funkcjonalności: filtrowania stron WWW (WWW/URL Filtering) w zależności od predefiniowanych kategorii, IDS/IPS, AntiSpyware, AntiVirus, DLP per reguła polityki bezpieczeństwa. Nie jest dopuszczalne, aby ww. moduł</w:t>
      </w:r>
      <w:r w:rsidR="00F30C89">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z w:val="20"/>
          <w:szCs w:val="20"/>
        </w:rPr>
        <w:t xml:space="preserve"> uruchamiane były per firewall lub jego część (np. interfejs sieciowy, strefa bezpieczeństwa). Bazy sygnatur ww. modułów muszą być przechowywane na urządzeniu, regularnie aktualizowane w sposób automatyczny, być w pełni kompatybilne z firewallem i posiadać nie mniej niż 200 milionów rekordów URL.</w:t>
      </w:r>
    </w:p>
    <w:p w14:paraId="4EBE4A87" w14:textId="77777777" w:rsidR="002A30C7" w:rsidRDefault="0078764D">
      <w:pPr>
        <w:numPr>
          <w:ilvl w:val="2"/>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Możliwość rozbudowy (wyłącznie w oparciu o zakup licencji) o funkcjonalność wykrywania i blokowania ruch do domen uznanych za złośliwe (sygnatury DNS). Rozwiązanie musi umożliwiać podmianę adresów IP w odpowiedziach DNS dla domen uznanych za złośliwe w celu łatwej identyfikacji stacji końcowych pracujących w sieci LAN zarażonych złośliwym oprogramowaniem (tzw. DNS Sinkhole).</w:t>
      </w:r>
    </w:p>
    <w:p w14:paraId="4EBE4A88" w14:textId="77777777" w:rsidR="002A30C7" w:rsidRDefault="0078764D">
      <w:pPr>
        <w:numPr>
          <w:ilvl w:val="2"/>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Firewall musi umożliwiać wykrywanie sieci Botnet na podstawie analizy behawioralnej oraz ochrony przed atakami typu DoS wraz z możliwością limitowania ilości jednoczesnych sesji w odniesieniu do źródłowego lub docelowego adresu IP.</w:t>
      </w:r>
    </w:p>
    <w:p w14:paraId="4EBE4A89" w14:textId="0783D686"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inspekcję komunikacji szyfrowanej HTTPS (SSL) dla ruchu wychodzącego i przychodzącego. Firewall musi umożliwiać deszyfrację niezaufanego ruchu HTTPS (szyfrowanego 3DES, AES (128-bit, 192-bit, 256-bit)) i poddania go właściwej inspekcji nie mniej niż: wykrywanie i blokowanie ataków typu exploit (Intrusion Prevention - IPS), wirusy i inny złośliwy kod (AntiVirus i AntiSpyware)</w:t>
      </w:r>
      <w:r w:rsidR="00A94499">
        <w:rPr>
          <w:rFonts w:ascii="Times New Roman" w:eastAsia="Times New Roman" w:hAnsi="Times New Roman" w:cs="Times New Roman"/>
          <w:color w:val="000000"/>
          <w:sz w:val="20"/>
          <w:szCs w:val="20"/>
        </w:rPr>
        <w:t>.</w:t>
      </w:r>
    </w:p>
    <w:p w14:paraId="4EBE4A8A"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Firewall musi umożliwiać inspekcję szyfrowanej komunikacji SSH (Secure Shell) dla ruchu wychodzącego w celu wykrywania tunelowania innych protokołów w ramach usługi SSH. </w:t>
      </w:r>
    </w:p>
    <w:p w14:paraId="4EBE4A8B" w14:textId="0D0F4AE6"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Firewall musi umożliwiać uruchomienie modułu inspekcji antywirusowej, kontrolującego przynajmniej pocztę elektronicznej (SMTP, POP3, IMAP), FTP oraz HTTP i HTTPS bez konieczności dokupowania jakichkolwiek dodatkowych komponentów. </w:t>
      </w:r>
      <w:r>
        <w:rPr>
          <w:rFonts w:ascii="Times New Roman" w:eastAsia="Times New Roman" w:hAnsi="Times New Roman" w:cs="Times New Roman"/>
          <w:sz w:val="20"/>
          <w:szCs w:val="20"/>
        </w:rPr>
        <w:t>Baza sygnatur AV musi być przechowywania na urządzeniu, regularnie aktualizowana w sposób automatyczny nie rzadziej niż co 24 godziny i pochodzić od tego samego producenta co producent systemu zabezpieczeń. Moduł AV musi</w:t>
      </w:r>
      <w:r w:rsidR="00F30C89">
        <w:rPr>
          <w:rFonts w:ascii="Times New Roman" w:eastAsia="Times New Roman" w:hAnsi="Times New Roman" w:cs="Times New Roman"/>
          <w:sz w:val="20"/>
          <w:szCs w:val="20"/>
        </w:rPr>
        <w:t xml:space="preserve"> być</w:t>
      </w:r>
      <w:r>
        <w:rPr>
          <w:rFonts w:ascii="Times New Roman" w:eastAsia="Times New Roman" w:hAnsi="Times New Roman" w:cs="Times New Roman"/>
          <w:sz w:val="20"/>
          <w:szCs w:val="20"/>
        </w:rPr>
        <w:t xml:space="preserve"> uruchamiany per reguła polityki bezpieczeństwa firewall. Nie jest dopuszczal</w:t>
      </w:r>
      <w:r w:rsidR="00F30C89">
        <w:rPr>
          <w:rFonts w:ascii="Times New Roman" w:eastAsia="Times New Roman" w:hAnsi="Times New Roman" w:cs="Times New Roman"/>
          <w:sz w:val="20"/>
          <w:szCs w:val="20"/>
        </w:rPr>
        <w:t>ne, aby moduł</w:t>
      </w:r>
      <w:r>
        <w:rPr>
          <w:rFonts w:ascii="Times New Roman" w:eastAsia="Times New Roman" w:hAnsi="Times New Roman" w:cs="Times New Roman"/>
          <w:sz w:val="20"/>
          <w:szCs w:val="20"/>
        </w:rPr>
        <w:t xml:space="preserve"> inspekcji antywirusowej uruchamiany był per cały firewall lub jego interfejs fizyczny/logiczny (np. interfejs sieciowy, interfejs SVI, strefa bezpieczeństwa).</w:t>
      </w:r>
    </w:p>
    <w:p w14:paraId="4EBE4A8C"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Firewall musi umożliwiać transparentnie ustalenie tożsamość użytkowników sieci (integracja z Active Directory, Citrix, LDAP i serwerami Terminal Services, syslog). Reguły zabezpieczeń firewalla precyzyjnie definiują prawa dostępu użytkowników do określonych usług sieci i jest utrzymana nawet gdy użytkownik zmieni lokalizację i adres IP. W przypadku użytkowników pracujących w środowisku terminalowym, tym samym mających wspólny adres IP, ustalanie tożsamości musi odbywać się również transparentnie. </w:t>
      </w:r>
    </w:p>
    <w:p w14:paraId="4EBE4A8D" w14:textId="77777777" w:rsidR="002A30C7" w:rsidRDefault="0078764D">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Wymagania dotyczące pozostałych funkcjonalności:</w:t>
      </w:r>
    </w:p>
    <w:p w14:paraId="4EBE4A8E"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Moduł ochrony przed awariami musi monitorować i wykrywać uszkodzenia elementów programowych firewall oraz łączy sieciowych. </w:t>
      </w:r>
    </w:p>
    <w:p w14:paraId="4EBE4A8F" w14:textId="02E4C953"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Wsparcie dla standardu 802.1q. Obsługa pełnego zakresu tag</w:t>
      </w:r>
      <w:r w:rsidR="00903C05">
        <w:rPr>
          <w:rFonts w:ascii="Times New Roman" w:eastAsia="Times New Roman" w:hAnsi="Times New Roman" w:cs="Times New Roman"/>
          <w:color w:val="000000"/>
          <w:sz w:val="20"/>
          <w:szCs w:val="20"/>
        </w:rPr>
        <w:t xml:space="preserve">ów od 1 do 4094 per interfejs. </w:t>
      </w:r>
      <w:r>
        <w:rPr>
          <w:rFonts w:ascii="Times New Roman" w:eastAsia="Times New Roman" w:hAnsi="Times New Roman" w:cs="Times New Roman"/>
          <w:color w:val="000000"/>
          <w:sz w:val="20"/>
          <w:szCs w:val="20"/>
        </w:rPr>
        <w:t>Obsługa pełnego zakresu tagów od 1 do 4094 per firewall (lub instancja).</w:t>
      </w:r>
    </w:p>
    <w:p w14:paraId="4EBE4A90" w14:textId="060734FA"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Wsparcie dla protokołów routingu OSPFv2/v3, BGP, RIP oraz dla Policy Based Routing (PBR).</w:t>
      </w:r>
    </w:p>
    <w:p w14:paraId="5D881FAE" w14:textId="0E309FA3" w:rsidR="00463570" w:rsidRPr="00463570" w:rsidRDefault="00463570" w:rsidP="00463570">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Wsparcie dla protokołów multicastowych: PIM-SM, PIM-SSM, IGMP v1, v2, v3</w:t>
      </w:r>
    </w:p>
    <w:p w14:paraId="4EBE4A91"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obsługiwać nie mniej niż 10 wirtualnych routerów posiadających odrębne tabele routingu.</w:t>
      </w:r>
    </w:p>
    <w:p w14:paraId="4EBE4A92" w14:textId="57BBB73C" w:rsidR="002A30C7" w:rsidRDefault="00C427C8">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Możliwość rozbudowy (wyłącznie w oparciu o zakup licencji) do obsługi</w:t>
      </w:r>
      <w:r w:rsidR="0078764D">
        <w:rPr>
          <w:rFonts w:ascii="Times New Roman" w:eastAsia="Times New Roman" w:hAnsi="Times New Roman" w:cs="Times New Roman"/>
          <w:color w:val="000000"/>
          <w:sz w:val="20"/>
          <w:szCs w:val="20"/>
        </w:rPr>
        <w:t xml:space="preserve"> nie mniej niż 6 wirtua</w:t>
      </w:r>
      <w:r w:rsidR="00A94499">
        <w:rPr>
          <w:rFonts w:ascii="Times New Roman" w:eastAsia="Times New Roman" w:hAnsi="Times New Roman" w:cs="Times New Roman"/>
          <w:color w:val="000000"/>
          <w:sz w:val="20"/>
          <w:szCs w:val="20"/>
        </w:rPr>
        <w:t>lnych firewalli/systemów/</w:t>
      </w:r>
      <w:r w:rsidR="0078764D">
        <w:rPr>
          <w:rFonts w:ascii="Times New Roman" w:eastAsia="Times New Roman" w:hAnsi="Times New Roman" w:cs="Times New Roman"/>
          <w:color w:val="000000"/>
          <w:sz w:val="20"/>
          <w:szCs w:val="20"/>
        </w:rPr>
        <w:t>domen/kontekstów. Każdy firewall wirtualny musi mieć możliwość konfiguracji indywidualnych, niezależnych i odrębnych: tablic routingu, polityk bezpieczeństwa obejmujących, system IPS, system ochrony antymalware/antyspyware, system ochrony antywirus, koncentratorów VPN dla zdalnego dostępu.</w:t>
      </w:r>
    </w:p>
    <w:p w14:paraId="4EBE4A93"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Wsparcie dla mechanizmów NAT i PAT (Source i Destination NAT i PAT) dla protokołu IPv4, NAT64, możliwość rezerwowania dynamicznych i statycznych zakresów IP. </w:t>
      </w:r>
    </w:p>
    <w:p w14:paraId="4EBE4A94"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Obsługa standardów wymiany klucza: Manual key, IKE v1 i v2.Obsługa standardów szyfrowania 3DES, AES (128-bit, 192-bit, 256-bit). Obsługa standardów uwierzytelniania: MD5, SHA-1, SHA-256, SHA-384, SHA-512. </w:t>
      </w:r>
    </w:p>
    <w:p w14:paraId="4EBE4A95"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zestawianie tuneli VPN w oparciu o standardy IPSec i IKE w konfiguracji site-to-site. Konfiguracja VPN musi odbywać się w oparciu o ustawienia routingu (tzw. routing-based VPN).</w:t>
      </w:r>
      <w:r>
        <w:rPr>
          <w:color w:val="000000"/>
        </w:rPr>
        <w:t xml:space="preserve"> </w:t>
      </w:r>
      <w:r>
        <w:rPr>
          <w:rFonts w:ascii="Times New Roman" w:eastAsia="Times New Roman" w:hAnsi="Times New Roman" w:cs="Times New Roman"/>
          <w:color w:val="000000"/>
          <w:sz w:val="20"/>
          <w:szCs w:val="20"/>
        </w:rPr>
        <w:t>Dostęp VPN dla użytkowników mobilnych musi odbywać się na bazie technologii SSL VPN.</w:t>
      </w:r>
    </w:p>
    <w:p w14:paraId="4EBE4A96" w14:textId="4E0B5682"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Zestawianie tuneli SSL VPN w konfiguracji remote-acc</w:t>
      </w:r>
      <w:r w:rsidR="00F30C89">
        <w:rPr>
          <w:rFonts w:ascii="Times New Roman" w:eastAsia="Times New Roman" w:hAnsi="Times New Roman" w:cs="Times New Roman"/>
          <w:color w:val="000000"/>
          <w:sz w:val="20"/>
          <w:szCs w:val="20"/>
        </w:rPr>
        <w:t>ess-VPN</w:t>
      </w:r>
      <w:r>
        <w:rPr>
          <w:rFonts w:ascii="Times New Roman" w:eastAsia="Times New Roman" w:hAnsi="Times New Roman" w:cs="Times New Roman"/>
          <w:color w:val="000000"/>
          <w:sz w:val="20"/>
          <w:szCs w:val="20"/>
        </w:rPr>
        <w:t xml:space="preserve"> musi posiadać możliwość weryfikacji kondycji bezpieczeństwa stacji końcowej (co najmniej dla Windows) co najmniej w zakresie </w:t>
      </w:r>
      <w:r>
        <w:rPr>
          <w:rFonts w:ascii="Times New Roman" w:eastAsia="Times New Roman" w:hAnsi="Times New Roman" w:cs="Times New Roman"/>
          <w:sz w:val="20"/>
          <w:szCs w:val="20"/>
        </w:rPr>
        <w:t xml:space="preserve">obecności </w:t>
      </w:r>
      <w:r w:rsidR="00F30C89">
        <w:rPr>
          <w:rFonts w:ascii="Times New Roman" w:eastAsia="Times New Roman" w:hAnsi="Times New Roman" w:cs="Times New Roman"/>
          <w:color w:val="000000"/>
          <w:sz w:val="20"/>
          <w:szCs w:val="20"/>
        </w:rPr>
        <w:t>oprogramowania anty</w:t>
      </w:r>
      <w:r>
        <w:rPr>
          <w:rFonts w:ascii="Times New Roman" w:eastAsia="Times New Roman" w:hAnsi="Times New Roman" w:cs="Times New Roman"/>
          <w:color w:val="000000"/>
          <w:sz w:val="20"/>
          <w:szCs w:val="20"/>
        </w:rPr>
        <w:t>wirusowego</w:t>
      </w:r>
      <w:r>
        <w:rPr>
          <w:rFonts w:ascii="Times New Roman" w:eastAsia="Times New Roman" w:hAnsi="Times New Roman" w:cs="Times New Roman"/>
          <w:sz w:val="20"/>
          <w:szCs w:val="20"/>
        </w:rPr>
        <w:t xml:space="preserve">, przynależności do </w:t>
      </w:r>
      <w:r>
        <w:rPr>
          <w:rFonts w:ascii="Times New Roman" w:eastAsia="Times New Roman" w:hAnsi="Times New Roman" w:cs="Times New Roman"/>
          <w:color w:val="000000"/>
          <w:sz w:val="20"/>
          <w:szCs w:val="20"/>
        </w:rPr>
        <w:t>domeny Active Directory i stanu lokalnego firewalla.</w:t>
      </w:r>
    </w:p>
    <w:p w14:paraId="4EBE4A97" w14:textId="7CAD7668" w:rsidR="002A30C7" w:rsidRDefault="0078764D">
      <w:pPr>
        <w:numPr>
          <w:ilvl w:val="2"/>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Firewall musi umożliwiać zestawianie tuneli VPN Client-to-Site</w:t>
      </w:r>
      <w:r w:rsidR="00A94499">
        <w:rPr>
          <w:rFonts w:ascii="Times New Roman" w:eastAsia="Times New Roman" w:hAnsi="Times New Roman" w:cs="Times New Roman"/>
          <w:sz w:val="20"/>
          <w:szCs w:val="20"/>
        </w:rPr>
        <w:t xml:space="preserve"> z mechanizm „Split tunneling”.</w:t>
      </w:r>
    </w:p>
    <w:p w14:paraId="4EBE4A98" w14:textId="710AEEEE" w:rsidR="002A30C7" w:rsidRDefault="0078764D">
      <w:pPr>
        <w:numPr>
          <w:ilvl w:val="2"/>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Producent firewalla musi zapewniać dostęp do aplikacji klienckiej VPN kompatybilnej z urządzeniami z systemem Windows, MacOS, Linux oraz urządzeniami mobilnymi iOS, Android</w:t>
      </w:r>
      <w:r w:rsidR="00A94499">
        <w:rPr>
          <w:rFonts w:ascii="Times New Roman" w:eastAsia="Times New Roman" w:hAnsi="Times New Roman" w:cs="Times New Roman"/>
          <w:sz w:val="20"/>
          <w:szCs w:val="20"/>
        </w:rPr>
        <w:t>.</w:t>
      </w:r>
    </w:p>
    <w:p w14:paraId="4EBE4A9A"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bookmarkStart w:id="0" w:name="_heading=h.gjdgxs" w:colFirst="0" w:colLast="0"/>
      <w:bookmarkEnd w:id="0"/>
      <w:r>
        <w:rPr>
          <w:rFonts w:ascii="Times New Roman" w:eastAsia="Times New Roman" w:hAnsi="Times New Roman" w:cs="Times New Roman"/>
          <w:color w:val="000000"/>
          <w:sz w:val="20"/>
          <w:szCs w:val="20"/>
        </w:rPr>
        <w:t xml:space="preserve">Firewall musi umożliwiać zarządzanie pasmem sieci (QoS) w zakresie oznaczania pakietów znacznikami DiffServ, a także ustawiania dla dowolnych aplikacji priorytetu, pasma maksymalnego i gwarantowanego. </w:t>
      </w:r>
    </w:p>
    <w:p w14:paraId="4EBE4A9B"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Zarządzanie musi odbywać się z linii poleceń (CLI), konsoli Web GUI dostępnej przez przeglądarkę WWW oraz przez SSH. Nie jest dopuszczalne, aby istniała </w:t>
      </w:r>
      <w:r>
        <w:rPr>
          <w:rFonts w:ascii="Times New Roman" w:eastAsia="Times New Roman" w:hAnsi="Times New Roman" w:cs="Times New Roman"/>
          <w:color w:val="000000"/>
          <w:sz w:val="20"/>
          <w:szCs w:val="20"/>
        </w:rPr>
        <w:lastRenderedPageBreak/>
        <w:t xml:space="preserve">konieczność instalacji dodatkowego oprogramowania na stacji administratora w celu zarządzania firewallem. </w:t>
      </w:r>
    </w:p>
    <w:p w14:paraId="4EBE4A9C" w14:textId="0901F95B"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zdefiniowanie wielu administratorów o różnych uprawnieniach</w:t>
      </w:r>
      <w:r w:rsidR="00F30C89">
        <w:rPr>
          <w:rFonts w:ascii="Times New Roman" w:eastAsia="Times New Roman" w:hAnsi="Times New Roman" w:cs="Times New Roman"/>
          <w:color w:val="000000"/>
          <w:sz w:val="20"/>
          <w:szCs w:val="20"/>
        </w:rPr>
        <w:t>.</w:t>
      </w:r>
      <w:r>
        <w:rPr>
          <w:color w:val="000000"/>
        </w:rPr>
        <w:t xml:space="preserve"> </w:t>
      </w:r>
      <w:r>
        <w:rPr>
          <w:rFonts w:ascii="Times New Roman" w:eastAsia="Times New Roman" w:hAnsi="Times New Roman" w:cs="Times New Roman"/>
          <w:color w:val="000000"/>
          <w:sz w:val="20"/>
          <w:szCs w:val="20"/>
        </w:rPr>
        <w:t>Firewall musi umożliwiać uwierzytelnianie administratorów za pomocą:</w:t>
      </w:r>
    </w:p>
    <w:p w14:paraId="4EBE4A9D"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bazy lokalnej, </w:t>
      </w:r>
    </w:p>
    <w:p w14:paraId="4EBE4A9E"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serwera LDAP, </w:t>
      </w:r>
    </w:p>
    <w:p w14:paraId="4EBE4A9F"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RADIUS lub TACACS+ </w:t>
      </w:r>
    </w:p>
    <w:p w14:paraId="4EBE4AA0" w14:textId="5C325D2F"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SAML 2.0</w:t>
      </w:r>
      <w:r w:rsidR="00A94499">
        <w:rPr>
          <w:rFonts w:ascii="Times New Roman" w:eastAsia="Times New Roman" w:hAnsi="Times New Roman" w:cs="Times New Roman"/>
          <w:color w:val="000000"/>
          <w:sz w:val="20"/>
          <w:szCs w:val="20"/>
        </w:rPr>
        <w:t>.</w:t>
      </w:r>
    </w:p>
    <w:p w14:paraId="4EBE4AA1" w14:textId="2A1AEFC4"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Musi być zapewniona możliwość stworzenia sekwencji uwierzytelniającej posiadającej co najmniej trzy metody uwierzytelniania (np. baza lokalna, LDAP i RADIUS)</w:t>
      </w:r>
      <w:r w:rsidR="00A94499">
        <w:rPr>
          <w:rFonts w:ascii="Times New Roman" w:eastAsia="Times New Roman" w:hAnsi="Times New Roman" w:cs="Times New Roman"/>
          <w:color w:val="000000"/>
          <w:sz w:val="20"/>
          <w:szCs w:val="20"/>
        </w:rPr>
        <w:t>.</w:t>
      </w:r>
    </w:p>
    <w:p w14:paraId="4EBE4AA2"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edycję konfiguracji na urządzeniu bez jej jednoczesnego aplikowania (aplikowanie konfiguracji na żądanie).</w:t>
      </w:r>
    </w:p>
    <w:p w14:paraId="4EBE4AA3" w14:textId="2992D9C0"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porównania bieżącej konfiguracji (wskazania różnic) z co najmniej 20 wcześniejszymi konfiguracjami</w:t>
      </w:r>
      <w:r w:rsidR="00A94499">
        <w:rPr>
          <w:rFonts w:ascii="Times New Roman" w:eastAsia="Times New Roman" w:hAnsi="Times New Roman" w:cs="Times New Roman"/>
          <w:color w:val="000000"/>
          <w:sz w:val="20"/>
          <w:szCs w:val="20"/>
        </w:rPr>
        <w:t>.</w:t>
      </w:r>
    </w:p>
    <w:p w14:paraId="4EBE4AA4"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zapewniać interfejs API będący integralną częścią systemu zabezpieczeń za pomocą którego możliwa jest konfiguracja i monitorowanie stanu urządzenia bez użycia konsoli zarządzania lub linii poleceń (CLI).Firewall musi wspierać co najmniej jeden z poniższych standardów API:</w:t>
      </w:r>
    </w:p>
    <w:p w14:paraId="4EBE4AA5"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JSON, </w:t>
      </w:r>
    </w:p>
    <w:p w14:paraId="4EBE4AA6"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REST, </w:t>
      </w:r>
    </w:p>
    <w:p w14:paraId="4EBE4AA7"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XML.</w:t>
      </w:r>
    </w:p>
    <w:p w14:paraId="4EBE4AA8"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eksportowanie logów do zewnętrznych serwerów SYSLOG.</w:t>
      </w:r>
    </w:p>
    <w:p w14:paraId="4EBE4AA9" w14:textId="78F095FE"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nie może posiadać ograniczeń licencyjnych dotyczących liczby chronionych komputerów w sieci wewnętrznej</w:t>
      </w:r>
      <w:r w:rsidR="00A94499">
        <w:rPr>
          <w:rFonts w:ascii="Times New Roman" w:eastAsia="Times New Roman" w:hAnsi="Times New Roman" w:cs="Times New Roman"/>
          <w:color w:val="000000"/>
          <w:sz w:val="20"/>
          <w:szCs w:val="20"/>
        </w:rPr>
        <w:t>.</w:t>
      </w:r>
    </w:p>
    <w:p w14:paraId="4EBE4AAA"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Licencje muszą zostać aktywowane przez zamawiającego, a nie automatycznie w momencie zakupu urządzenia. Czas trwania licencji musi być liczony od momentu aktywacji.</w:t>
      </w:r>
    </w:p>
    <w:p w14:paraId="4EBE4AAB"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Firewall musi być objęty minimum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-letnim wsparciem obejmującym:</w:t>
      </w:r>
    </w:p>
    <w:p w14:paraId="4EBE4AAC" w14:textId="762A3105"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dostęp do aktualnych wersji oprogramowania</w:t>
      </w:r>
      <w:r w:rsidR="00A94499">
        <w:rPr>
          <w:rFonts w:ascii="Times New Roman" w:eastAsia="Times New Roman" w:hAnsi="Times New Roman" w:cs="Times New Roman"/>
          <w:color w:val="000000"/>
          <w:sz w:val="20"/>
          <w:szCs w:val="20"/>
        </w:rPr>
        <w:t>,</w:t>
      </w:r>
    </w:p>
    <w:p w14:paraId="4EBE4AAD" w14:textId="6FD1B91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realizacja zgłoszeń serwisowych w trybie 24x7</w:t>
      </w:r>
      <w:r w:rsidR="00A94499">
        <w:rPr>
          <w:rFonts w:ascii="Times New Roman" w:eastAsia="Times New Roman" w:hAnsi="Times New Roman" w:cs="Times New Roman"/>
          <w:color w:val="000000"/>
          <w:sz w:val="20"/>
          <w:szCs w:val="20"/>
        </w:rPr>
        <w:t>,</w:t>
      </w:r>
    </w:p>
    <w:p w14:paraId="4EBE4AAE" w14:textId="10361156"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realizację zgłoszeń gwarancyjnych w trybie 24x7</w:t>
      </w:r>
      <w:r w:rsidR="00A94499">
        <w:rPr>
          <w:rFonts w:ascii="Times New Roman" w:eastAsia="Times New Roman" w:hAnsi="Times New Roman" w:cs="Times New Roman"/>
          <w:color w:val="000000"/>
          <w:sz w:val="20"/>
          <w:szCs w:val="20"/>
        </w:rPr>
        <w:t>,</w:t>
      </w:r>
    </w:p>
    <w:p w14:paraId="4EBE4AAF" w14:textId="062AAE71"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wsparcie techniczne realizowane telefonicznie, mailowo oraz za pośrednictwem portalu www</w:t>
      </w:r>
      <w:r w:rsidR="00A94499">
        <w:rPr>
          <w:rFonts w:ascii="Times New Roman" w:eastAsia="Times New Roman" w:hAnsi="Times New Roman" w:cs="Times New Roman"/>
          <w:color w:val="000000"/>
          <w:sz w:val="20"/>
          <w:szCs w:val="20"/>
        </w:rPr>
        <w:t>,</w:t>
      </w:r>
    </w:p>
    <w:p w14:paraId="4EBE4AB0" w14:textId="7F8A3EE1"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aktualizację bazy ataków IPS i definicji wirusów (czas liczony jak w punkcie II.B.</w:t>
      </w:r>
      <w:r>
        <w:rPr>
          <w:rFonts w:ascii="Times New Roman" w:eastAsia="Times New Roman" w:hAnsi="Times New Roman" w:cs="Times New Roman"/>
          <w:sz w:val="20"/>
          <w:szCs w:val="20"/>
        </w:rPr>
        <w:t>2</w:t>
      </w:r>
      <w:r w:rsidR="0072094F">
        <w:rPr>
          <w:rFonts w:ascii="Times New Roman" w:eastAsia="Times New Roman" w:hAnsi="Times New Roman" w:cs="Times New Roman"/>
          <w:sz w:val="20"/>
          <w:szCs w:val="20"/>
        </w:rPr>
        <w:t>2</w:t>
      </w:r>
      <w:r w:rsidR="00A94499">
        <w:rPr>
          <w:rFonts w:ascii="Times New Roman" w:eastAsia="Times New Roman" w:hAnsi="Times New Roman" w:cs="Times New Roman"/>
          <w:color w:val="000000"/>
          <w:sz w:val="20"/>
          <w:szCs w:val="20"/>
        </w:rPr>
        <w:t>),</w:t>
      </w:r>
    </w:p>
    <w:p w14:paraId="4EBE4AB1" w14:textId="52EC60C0"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dostęp do baz wiedzy, przewodników konfiguracyjnych i narzędzi diagnostycznych</w:t>
      </w:r>
      <w:r w:rsidR="00A94499">
        <w:rPr>
          <w:rFonts w:ascii="Times New Roman" w:eastAsia="Times New Roman" w:hAnsi="Times New Roman" w:cs="Times New Roman"/>
          <w:color w:val="000000"/>
          <w:sz w:val="20"/>
          <w:szCs w:val="20"/>
        </w:rPr>
        <w:t>.</w:t>
      </w:r>
    </w:p>
    <w:p w14:paraId="4EBE4AB2" w14:textId="77777777" w:rsidR="002A30C7" w:rsidRDefault="0078764D">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Wymagania wydajnościowe</w:t>
      </w:r>
    </w:p>
    <w:p w14:paraId="4EBE4AB3" w14:textId="3F5734C6" w:rsidR="002A30C7" w:rsidRDefault="00815D29">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być dostarczony</w:t>
      </w:r>
      <w:r w:rsidR="0078764D">
        <w:rPr>
          <w:rFonts w:ascii="Times New Roman" w:eastAsia="Times New Roman" w:hAnsi="Times New Roman" w:cs="Times New Roman"/>
          <w:color w:val="000000"/>
          <w:sz w:val="20"/>
          <w:szCs w:val="20"/>
        </w:rPr>
        <w:t xml:space="preserve"> jako dedykowane urządzenie typu appliance z dedykowanym dla niego oprogramowaniem systemowym. Obudowa wraz z kompletem mocowań umożliwiających montaż w szafie rack 19” i zajmować maksymalnie 2 RU.</w:t>
      </w:r>
      <w:r w:rsidR="0078764D">
        <w:rPr>
          <w:color w:val="000000"/>
        </w:rPr>
        <w:t xml:space="preserve"> </w:t>
      </w:r>
      <w:r w:rsidR="0078764D">
        <w:rPr>
          <w:rFonts w:ascii="Times New Roman" w:eastAsia="Times New Roman" w:hAnsi="Times New Roman" w:cs="Times New Roman"/>
          <w:color w:val="000000"/>
          <w:sz w:val="20"/>
          <w:szCs w:val="20"/>
        </w:rPr>
        <w:t xml:space="preserve">Całość sprzętu i oprogramowania musi </w:t>
      </w:r>
      <w:r w:rsidR="0078764D">
        <w:rPr>
          <w:rFonts w:ascii="Times New Roman" w:eastAsia="Times New Roman" w:hAnsi="Times New Roman" w:cs="Times New Roman"/>
          <w:sz w:val="20"/>
          <w:szCs w:val="20"/>
        </w:rPr>
        <w:t>pochodzić od</w:t>
      </w:r>
      <w:r w:rsidR="0078764D">
        <w:rPr>
          <w:rFonts w:ascii="Times New Roman" w:eastAsia="Times New Roman" w:hAnsi="Times New Roman" w:cs="Times New Roman"/>
          <w:color w:val="000000"/>
          <w:sz w:val="20"/>
          <w:szCs w:val="20"/>
        </w:rPr>
        <w:t xml:space="preserve"> jednego producenta.</w:t>
      </w:r>
    </w:p>
    <w:p w14:paraId="4EBE4AB4"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Zasilanie napięciem zmiennym 230V / 50Hz.</w:t>
      </w:r>
      <w:r>
        <w:rPr>
          <w:color w:val="000000"/>
        </w:rPr>
        <w:t xml:space="preserve"> </w:t>
      </w:r>
      <w:r>
        <w:rPr>
          <w:rFonts w:ascii="Times New Roman" w:eastAsia="Times New Roman" w:hAnsi="Times New Roman" w:cs="Times New Roman"/>
          <w:color w:val="000000"/>
          <w:sz w:val="20"/>
          <w:szCs w:val="20"/>
        </w:rPr>
        <w:t>Firewall musi być wyposażon</w:t>
      </w:r>
      <w:r>
        <w:rPr>
          <w:rFonts w:ascii="Times New Roman" w:eastAsia="Times New Roman" w:hAnsi="Times New Roman" w:cs="Times New Roman"/>
          <w:sz w:val="20"/>
          <w:szCs w:val="20"/>
        </w:rPr>
        <w:t xml:space="preserve">y w co najmniej 2 </w:t>
      </w:r>
      <w:r>
        <w:rPr>
          <w:rFonts w:ascii="Times New Roman" w:eastAsia="Times New Roman" w:hAnsi="Times New Roman" w:cs="Times New Roman"/>
          <w:color w:val="000000"/>
          <w:sz w:val="20"/>
          <w:szCs w:val="20"/>
        </w:rPr>
        <w:t>zasilacze typu AC pracujące redundantnie.</w:t>
      </w:r>
    </w:p>
    <w:p w14:paraId="4EBE4AB5"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posiadać co najmniej:</w:t>
      </w:r>
    </w:p>
    <w:p w14:paraId="4EBE4AB6"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interfejsy 40GE QSFP+, </w:t>
      </w:r>
    </w:p>
    <w:p w14:paraId="4EBE4AB7"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interfejsów 10/100/1000M Ethernet (RJ45),</w:t>
      </w:r>
    </w:p>
    <w:p w14:paraId="4EBE4AB8"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interfejsów 1/10GE SFP/SFP+</w:t>
      </w:r>
    </w:p>
    <w:p w14:paraId="4EBE4AB9" w14:textId="0CB86CCB" w:rsidR="002A30C7" w:rsidRPr="0078764D" w:rsidRDefault="0078764D" w:rsidP="0075433C">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sidRPr="0078764D">
        <w:rPr>
          <w:rFonts w:ascii="Times New Roman" w:eastAsia="Times New Roman" w:hAnsi="Times New Roman" w:cs="Times New Roman"/>
          <w:color w:val="000000"/>
          <w:sz w:val="20"/>
          <w:szCs w:val="20"/>
        </w:rPr>
        <w:t>Do firewalla muszą być dołączone 4 współpracujące z nim interfejsy optyczne pracujące w standardzie 10G</w:t>
      </w:r>
      <w:bookmarkStart w:id="1" w:name="_GoBack"/>
      <w:bookmarkEnd w:id="1"/>
      <w:r w:rsidRPr="0078764D">
        <w:rPr>
          <w:rFonts w:ascii="Times New Roman" w:eastAsia="Times New Roman" w:hAnsi="Times New Roman" w:cs="Times New Roman"/>
          <w:color w:val="000000"/>
          <w:sz w:val="20"/>
          <w:szCs w:val="20"/>
        </w:rPr>
        <w:t>BASE-SX SFP+</w:t>
      </w:r>
      <w:r w:rsidR="0075433C">
        <w:rPr>
          <w:rFonts w:ascii="Times New Roman" w:eastAsia="Times New Roman" w:hAnsi="Times New Roman" w:cs="Times New Roman"/>
          <w:color w:val="000000"/>
          <w:sz w:val="20"/>
          <w:szCs w:val="20"/>
        </w:rPr>
        <w:t xml:space="preserve"> </w:t>
      </w:r>
      <w:r w:rsidR="0075433C" w:rsidRPr="0075433C">
        <w:rPr>
          <w:rFonts w:ascii="Times New Roman" w:eastAsia="Times New Roman" w:hAnsi="Times New Roman" w:cs="Times New Roman"/>
          <w:color w:val="000000"/>
          <w:sz w:val="20"/>
          <w:szCs w:val="20"/>
        </w:rPr>
        <w:t>oraz 4 współpracujące z nim interfejsy optyczne pracujące w standardzie 40GBASE-SR QSFP+</w:t>
      </w:r>
    </w:p>
    <w:p w14:paraId="4EBE4ABA" w14:textId="146AE750"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posiadać co najmniej 1 dysk SSD o pojemności nie mniejszej niż 240 GB</w:t>
      </w:r>
      <w:r w:rsidR="00A94499">
        <w:rPr>
          <w:rFonts w:ascii="Times New Roman" w:eastAsia="Times New Roman" w:hAnsi="Times New Roman" w:cs="Times New Roman"/>
          <w:color w:val="000000"/>
          <w:sz w:val="20"/>
          <w:szCs w:val="20"/>
        </w:rPr>
        <w:t>.</w:t>
      </w:r>
    </w:p>
    <w:p w14:paraId="4EBE4ABB" w14:textId="3CA10D50"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Temperatura pracy firewalla w zakresie od 0 do 50 </w:t>
      </w:r>
      <w:r>
        <w:rPr>
          <w:rFonts w:ascii="Times New Roman" w:eastAsia="Times New Roman" w:hAnsi="Times New Roman" w:cs="Times New Roman"/>
          <w:color w:val="000000"/>
          <w:sz w:val="20"/>
          <w:szCs w:val="20"/>
          <w:vertAlign w:val="superscript"/>
        </w:rPr>
        <w:t>o</w:t>
      </w:r>
      <w:r>
        <w:rPr>
          <w:rFonts w:ascii="Times New Roman" w:eastAsia="Times New Roman" w:hAnsi="Times New Roman" w:cs="Times New Roman"/>
          <w:color w:val="000000"/>
          <w:sz w:val="20"/>
          <w:szCs w:val="20"/>
        </w:rPr>
        <w:t>C</w:t>
      </w:r>
      <w:r w:rsidR="00A94499">
        <w:rPr>
          <w:rFonts w:ascii="Times New Roman" w:eastAsia="Times New Roman" w:hAnsi="Times New Roman" w:cs="Times New Roman"/>
          <w:color w:val="000000"/>
          <w:sz w:val="20"/>
          <w:szCs w:val="20"/>
        </w:rPr>
        <w:t>.</w:t>
      </w:r>
    </w:p>
    <w:p w14:paraId="4EBE4ABC"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zapewniać przepustowość co najmniej 8 Gbps dla kontroli ruchu z włączoną funkcją rozpoznawania aplikacji, nie mniej niż 4,5 Gbps dla kontroli zawartości (w tym kontrola AntiVirus, AntiSpyware, Intrusion Prevention System/ Intrusion Detection System i Web/URL Filtering).</w:t>
      </w:r>
    </w:p>
    <w:p w14:paraId="4EBE4ABD"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obsługiwać co najmniej 90 000 nowych sesji na sekundę.</w:t>
      </w:r>
    </w:p>
    <w:p w14:paraId="4EBE4ABE"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obsługiwać co najmniej 2,3 mln jednoczesnych sesji.</w:t>
      </w:r>
    </w:p>
    <w:p w14:paraId="4EBE4ABF"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Firewall musi spełniać co najmniej następujące parametry wydajnościowe</w:t>
      </w:r>
      <w:r>
        <w:rPr>
          <w:color w:val="000000"/>
        </w:rPr>
        <w:t xml:space="preserve"> </w:t>
      </w:r>
      <w:r>
        <w:rPr>
          <w:rFonts w:ascii="Times New Roman" w:eastAsia="Times New Roman" w:hAnsi="Times New Roman" w:cs="Times New Roman"/>
          <w:color w:val="000000"/>
          <w:sz w:val="20"/>
          <w:szCs w:val="20"/>
        </w:rPr>
        <w:t>funkcji VPN (IPSec i SSL):</w:t>
      </w:r>
    </w:p>
    <w:p w14:paraId="4EBE4AC0" w14:textId="3BE4137C"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Minimum 4 Gbps dla IPSEC VPN</w:t>
      </w:r>
      <w:r w:rsidR="00A94499">
        <w:rPr>
          <w:rFonts w:ascii="Times New Roman" w:eastAsia="Times New Roman" w:hAnsi="Times New Roman" w:cs="Times New Roman"/>
          <w:color w:val="000000"/>
          <w:sz w:val="20"/>
          <w:szCs w:val="20"/>
        </w:rPr>
        <w:t>,</w:t>
      </w:r>
    </w:p>
    <w:p w14:paraId="4EBE4AC1" w14:textId="472DB8C3" w:rsidR="002A30C7" w:rsidRPr="0072094F"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lang w:val="en-US"/>
        </w:rPr>
      </w:pPr>
      <w:r w:rsidRPr="0072094F">
        <w:rPr>
          <w:rFonts w:ascii="Times New Roman" w:eastAsia="Times New Roman" w:hAnsi="Times New Roman" w:cs="Times New Roman"/>
          <w:color w:val="000000"/>
          <w:sz w:val="20"/>
          <w:szCs w:val="20"/>
          <w:lang w:val="en-US"/>
        </w:rPr>
        <w:t>Minimum 6 000 tuneli IPSEC VPN (site-to-site)</w:t>
      </w:r>
      <w:r w:rsidR="00A94499">
        <w:rPr>
          <w:rFonts w:ascii="Times New Roman" w:eastAsia="Times New Roman" w:hAnsi="Times New Roman" w:cs="Times New Roman"/>
          <w:color w:val="000000"/>
          <w:sz w:val="20"/>
          <w:szCs w:val="20"/>
          <w:lang w:val="en-US"/>
        </w:rPr>
        <w:t>,</w:t>
      </w:r>
    </w:p>
    <w:p w14:paraId="4EBE4AC2" w14:textId="77777777" w:rsidR="002A30C7" w:rsidRDefault="0078764D">
      <w:pPr>
        <w:numPr>
          <w:ilvl w:val="3"/>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Minimum 2 000 tuneli SSL VPN Remote Access z wykorzystaniem klienta VPN.</w:t>
      </w:r>
    </w:p>
    <w:p w14:paraId="4EBE4AC3" w14:textId="798CD712"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Możliwość pracy w klastrze w trybie</w:t>
      </w:r>
      <w:r>
        <w:rPr>
          <w:color w:val="000000"/>
        </w:rPr>
        <w:t xml:space="preserve"> </w:t>
      </w:r>
      <w:r>
        <w:rPr>
          <w:rFonts w:ascii="Times New Roman" w:eastAsia="Times New Roman" w:hAnsi="Times New Roman" w:cs="Times New Roman"/>
          <w:color w:val="000000"/>
          <w:sz w:val="20"/>
          <w:szCs w:val="20"/>
        </w:rPr>
        <w:t>Active/Active i Active/Passive z synchronizacją konfiguracji i tablicy stanu sesji przy włączonych funkcjonalności</w:t>
      </w:r>
      <w:r w:rsidR="00F30C89">
        <w:rPr>
          <w:rFonts w:ascii="Times New Roman" w:eastAsia="Times New Roman" w:hAnsi="Times New Roman" w:cs="Times New Roman"/>
          <w:color w:val="000000"/>
          <w:sz w:val="20"/>
          <w:szCs w:val="20"/>
        </w:rPr>
        <w:t>ach</w:t>
      </w:r>
      <w:r w:rsidR="00A94499">
        <w:rPr>
          <w:rFonts w:ascii="Times New Roman" w:eastAsia="Times New Roman" w:hAnsi="Times New Roman" w:cs="Times New Roman"/>
          <w:color w:val="000000"/>
          <w:sz w:val="20"/>
          <w:szCs w:val="20"/>
        </w:rPr>
        <w:t>.</w:t>
      </w:r>
    </w:p>
    <w:p w14:paraId="4EBE4AC4" w14:textId="77777777" w:rsidR="002A30C7" w:rsidRDefault="0078764D">
      <w:pPr>
        <w:numPr>
          <w:ilvl w:val="2"/>
          <w:numId w:val="1"/>
        </w:num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umożliwiać zdefiniowanie nie mniej niż 10 000 reguł polityki bezpieczeństwa oraz obsługę minimum 200 stref bezpieczeństwa.</w:t>
      </w:r>
    </w:p>
    <w:p w14:paraId="4EBE4AC5" w14:textId="70189357" w:rsidR="002A30C7" w:rsidRDefault="0078764D">
      <w:pPr>
        <w:numPr>
          <w:ilvl w:val="2"/>
          <w:numId w:val="1"/>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Firewall musi być objęt</w:t>
      </w:r>
      <w:r w:rsidR="00F30C89">
        <w:rPr>
          <w:rFonts w:ascii="Times New Roman" w:eastAsia="Times New Roman" w:hAnsi="Times New Roman" w:cs="Times New Roman"/>
          <w:color w:val="000000"/>
          <w:sz w:val="20"/>
          <w:szCs w:val="20"/>
        </w:rPr>
        <w:t>y</w:t>
      </w:r>
      <w:r>
        <w:rPr>
          <w:rFonts w:ascii="Times New Roman" w:eastAsia="Times New Roman" w:hAnsi="Times New Roman" w:cs="Times New Roman"/>
          <w:color w:val="000000"/>
          <w:sz w:val="20"/>
          <w:szCs w:val="20"/>
        </w:rPr>
        <w:t xml:space="preserve"> minimum </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letnią gwarancją (nie krótszą niż gwarancja producenta)</w:t>
      </w:r>
      <w:r w:rsidR="00A94499">
        <w:rPr>
          <w:rFonts w:ascii="Times New Roman" w:eastAsia="Times New Roman" w:hAnsi="Times New Roman" w:cs="Times New Roman"/>
          <w:color w:val="000000"/>
          <w:sz w:val="20"/>
          <w:szCs w:val="20"/>
        </w:rPr>
        <w:t>.</w:t>
      </w:r>
    </w:p>
    <w:p w14:paraId="4EBE4AC6" w14:textId="77777777" w:rsidR="002A30C7" w:rsidRDefault="0078764D">
      <w:pPr>
        <w:numPr>
          <w:ilvl w:val="0"/>
          <w:numId w:val="1"/>
        </w:num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Platforma do centralnego zarządzania</w:t>
      </w:r>
    </w:p>
    <w:p w14:paraId="4EBE4AC7" w14:textId="012E8F95" w:rsidR="002A30C7" w:rsidRDefault="0078764D">
      <w:pPr>
        <w:numPr>
          <w:ilvl w:val="1"/>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Platforma ma pozwalać na zarządzanie z jednego miejsc</w:t>
      </w:r>
      <w:r w:rsidR="00F30C89">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każdym z urządzeń (firewalli) wchodzących w skład systemu zabezpieczeń ruchu sieciowego, co najmniej w zakresie:</w:t>
      </w:r>
      <w:r>
        <w:rPr>
          <w:rFonts w:ascii="Times New Roman" w:eastAsia="Times New Roman" w:hAnsi="Times New Roman" w:cs="Times New Roman"/>
          <w:sz w:val="20"/>
          <w:szCs w:val="20"/>
        </w:rPr>
        <w:tab/>
      </w:r>
    </w:p>
    <w:p w14:paraId="4EBE4AC8" w14:textId="77777777" w:rsidR="002A30C7" w:rsidRDefault="0078764D">
      <w:pPr>
        <w:numPr>
          <w:ilvl w:val="2"/>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Tworzenia szablonów konfiguracji </w:t>
      </w:r>
    </w:p>
    <w:p w14:paraId="4EBE4AC9" w14:textId="77777777" w:rsidR="002A30C7" w:rsidRDefault="0078764D">
      <w:pPr>
        <w:numPr>
          <w:ilvl w:val="2"/>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Zbieranie i analizowanie logów </w:t>
      </w:r>
    </w:p>
    <w:p w14:paraId="4EBE4ACA" w14:textId="3356DEA3" w:rsidR="002A30C7" w:rsidRDefault="0078764D">
      <w:pPr>
        <w:numPr>
          <w:ilvl w:val="2"/>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Korelowani</w:t>
      </w:r>
      <w:r w:rsidR="00F30C89">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zbieranych informacji oraz budowania raportów na ich podstawie. Zbierane dane powinny zawierać informacje co najmniej o: </w:t>
      </w:r>
    </w:p>
    <w:p w14:paraId="4EBE4ACB" w14:textId="77777777" w:rsidR="002A30C7" w:rsidRDefault="0078764D">
      <w:pPr>
        <w:numPr>
          <w:ilvl w:val="3"/>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ruchu sieciowym, </w:t>
      </w:r>
    </w:p>
    <w:p w14:paraId="4EBE4ACC" w14:textId="77777777" w:rsidR="002A30C7" w:rsidRDefault="0078764D">
      <w:pPr>
        <w:numPr>
          <w:ilvl w:val="3"/>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aplikacjach, </w:t>
      </w:r>
    </w:p>
    <w:p w14:paraId="4EBE4ACD" w14:textId="77777777" w:rsidR="002A30C7" w:rsidRDefault="0078764D">
      <w:pPr>
        <w:numPr>
          <w:ilvl w:val="3"/>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zagrożeniach </w:t>
      </w:r>
    </w:p>
    <w:p w14:paraId="4EBE4ACE" w14:textId="77777777" w:rsidR="002A30C7" w:rsidRDefault="0078764D">
      <w:pPr>
        <w:numPr>
          <w:ilvl w:val="3"/>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filtrowaniu stron www.</w:t>
      </w:r>
    </w:p>
    <w:p w14:paraId="4EBE4ACF" w14:textId="77777777" w:rsidR="002A30C7" w:rsidRDefault="0078764D">
      <w:pPr>
        <w:numPr>
          <w:ilvl w:val="2"/>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Tworzenie raportów dostosowanych do wymagań Zamawiającego, zapisania ich w systemie i uruchamiania w sposób ręczny lub automatyczny w określonych przedziałach czasu. Wynik działania raportów musi być dostępny w formatach co najmniej PDF, CSV i XML.</w:t>
      </w:r>
    </w:p>
    <w:p w14:paraId="4EBE4AD0" w14:textId="77777777" w:rsidR="002A30C7" w:rsidRDefault="0078764D">
      <w:pPr>
        <w:numPr>
          <w:ilvl w:val="2"/>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Tworzenie raportów o aktywności wybranego użytkownika lub grupy użytkowników na przestrzeni wskazanego okresu czasu.</w:t>
      </w:r>
    </w:p>
    <w:p w14:paraId="4EBE4AD1" w14:textId="77777777" w:rsidR="002A30C7" w:rsidRDefault="0078764D">
      <w:pPr>
        <w:numPr>
          <w:ilvl w:val="1"/>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Zgodność ze środowiskiem wirtualizacji VMware ESXi 6.7 i nowszym</w:t>
      </w:r>
    </w:p>
    <w:p w14:paraId="4EBE4AD2" w14:textId="1969BBF9" w:rsidR="002A30C7" w:rsidRDefault="0078764D">
      <w:pPr>
        <w:numPr>
          <w:ilvl w:val="1"/>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Platforma musi zapewniać interfejs AP</w:t>
      </w:r>
      <w:r w:rsidR="00F30C89">
        <w:rPr>
          <w:rFonts w:ascii="Times New Roman" w:eastAsia="Times New Roman" w:hAnsi="Times New Roman" w:cs="Times New Roman"/>
          <w:sz w:val="20"/>
          <w:szCs w:val="20"/>
        </w:rPr>
        <w:t>,</w:t>
      </w:r>
      <w:r>
        <w:rPr>
          <w:rFonts w:ascii="Times New Roman" w:eastAsia="Times New Roman" w:hAnsi="Times New Roman" w:cs="Times New Roman"/>
          <w:sz w:val="20"/>
          <w:szCs w:val="20"/>
        </w:rPr>
        <w:t>I za pomocą którego możliwa jest konfiguracja i monitorowanie stanu platformy bez użycia konsoli zarządzania lub linii poleceń (CLI). Platforma musi wspierać co najmniej jeden z poniższych standardów API:</w:t>
      </w:r>
    </w:p>
    <w:p w14:paraId="4EBE4AD3" w14:textId="074011D2" w:rsidR="002A30C7" w:rsidRDefault="0078764D">
      <w:pPr>
        <w:numPr>
          <w:ilvl w:val="2"/>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JSON</w:t>
      </w:r>
      <w:r w:rsidR="00A94499">
        <w:rPr>
          <w:rFonts w:ascii="Times New Roman" w:eastAsia="Times New Roman" w:hAnsi="Times New Roman" w:cs="Times New Roman"/>
          <w:sz w:val="20"/>
          <w:szCs w:val="20"/>
        </w:rPr>
        <w:t>,</w:t>
      </w:r>
    </w:p>
    <w:p w14:paraId="4EBE4AD4" w14:textId="05BD11BE" w:rsidR="002A30C7" w:rsidRDefault="0078764D">
      <w:pPr>
        <w:numPr>
          <w:ilvl w:val="2"/>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REST</w:t>
      </w:r>
      <w:r w:rsidR="00A94499">
        <w:rPr>
          <w:rFonts w:ascii="Times New Roman" w:eastAsia="Times New Roman" w:hAnsi="Times New Roman" w:cs="Times New Roman"/>
          <w:sz w:val="20"/>
          <w:szCs w:val="20"/>
        </w:rPr>
        <w:t>,</w:t>
      </w:r>
    </w:p>
    <w:p w14:paraId="4EBE4AD5" w14:textId="77777777" w:rsidR="002A30C7" w:rsidRDefault="0078764D">
      <w:pPr>
        <w:numPr>
          <w:ilvl w:val="2"/>
          <w:numId w:val="1"/>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XML.</w:t>
      </w:r>
    </w:p>
    <w:p w14:paraId="4EBE4AD6" w14:textId="77777777" w:rsidR="002A30C7" w:rsidRDefault="0078764D">
      <w:pPr>
        <w:numPr>
          <w:ilvl w:val="1"/>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Platforma musi umożliwiać zdefiniowanie wielu administratorów o różnych uprawnieniach</w:t>
      </w:r>
      <w:r>
        <w:t xml:space="preserve">. Platforma </w:t>
      </w:r>
      <w:r>
        <w:rPr>
          <w:rFonts w:ascii="Times New Roman" w:eastAsia="Times New Roman" w:hAnsi="Times New Roman" w:cs="Times New Roman"/>
          <w:sz w:val="20"/>
          <w:szCs w:val="20"/>
        </w:rPr>
        <w:t>musi umożliwiać uwierzytelnianie administratorów za pomocą:</w:t>
      </w:r>
    </w:p>
    <w:p w14:paraId="4EBE4AD7" w14:textId="77777777" w:rsidR="002A30C7" w:rsidRDefault="0078764D">
      <w:pPr>
        <w:numPr>
          <w:ilvl w:val="3"/>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bazy lokalnej, </w:t>
      </w:r>
    </w:p>
    <w:p w14:paraId="4EBE4AD8" w14:textId="77777777" w:rsidR="002A30C7" w:rsidRDefault="0078764D">
      <w:pPr>
        <w:numPr>
          <w:ilvl w:val="3"/>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serwera LDAP, </w:t>
      </w:r>
    </w:p>
    <w:p w14:paraId="4EBE4AD9" w14:textId="77777777" w:rsidR="002A30C7" w:rsidRDefault="0078764D">
      <w:pPr>
        <w:numPr>
          <w:ilvl w:val="3"/>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RADIUS lub TACACS+ </w:t>
      </w:r>
    </w:p>
    <w:p w14:paraId="4EBE4ADA" w14:textId="76E7AFE6" w:rsidR="002A30C7" w:rsidRDefault="0078764D">
      <w:pPr>
        <w:numPr>
          <w:ilvl w:val="3"/>
          <w:numId w:val="1"/>
        </w:num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SAML 2.0</w:t>
      </w:r>
      <w:r w:rsidR="00A94499">
        <w:rPr>
          <w:rFonts w:ascii="Times New Roman" w:eastAsia="Times New Roman" w:hAnsi="Times New Roman" w:cs="Times New Roman"/>
          <w:sz w:val="20"/>
          <w:szCs w:val="20"/>
        </w:rPr>
        <w:t>.</w:t>
      </w:r>
    </w:p>
    <w:sectPr w:rsidR="002A30C7">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E4AE5" w14:textId="77777777" w:rsidR="004B60FF" w:rsidRDefault="0078764D">
      <w:pPr>
        <w:spacing w:after="0" w:line="240" w:lineRule="auto"/>
      </w:pPr>
      <w:r>
        <w:separator/>
      </w:r>
    </w:p>
  </w:endnote>
  <w:endnote w:type="continuationSeparator" w:id="0">
    <w:p w14:paraId="4EBE4AE7" w14:textId="77777777" w:rsidR="004B60FF" w:rsidRDefault="0078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4ADF" w14:textId="2B7B04C6" w:rsidR="002A30C7" w:rsidRDefault="0078764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5433C">
      <w:rPr>
        <w:noProof/>
        <w:color w:val="000000"/>
      </w:rPr>
      <w:t>4</w:t>
    </w:r>
    <w:r>
      <w:rPr>
        <w:color w:val="000000"/>
      </w:rPr>
      <w:fldChar w:fldCharType="end"/>
    </w:r>
  </w:p>
  <w:p w14:paraId="4EBE4AE0" w14:textId="77777777" w:rsidR="002A30C7" w:rsidRDefault="002A30C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E4AE1" w14:textId="77777777" w:rsidR="004B60FF" w:rsidRDefault="0078764D">
      <w:pPr>
        <w:spacing w:after="0" w:line="240" w:lineRule="auto"/>
      </w:pPr>
      <w:r>
        <w:separator/>
      </w:r>
    </w:p>
  </w:footnote>
  <w:footnote w:type="continuationSeparator" w:id="0">
    <w:p w14:paraId="4EBE4AE3" w14:textId="77777777" w:rsidR="004B60FF" w:rsidRDefault="00787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96B99"/>
    <w:multiLevelType w:val="multilevel"/>
    <w:tmpl w:val="31142E40"/>
    <w:lvl w:ilvl="0">
      <w:start w:val="1"/>
      <w:numFmt w:val="upperRoman"/>
      <w:pStyle w:val="Listapunktowana"/>
      <w:lvlText w:val="%1."/>
      <w:lvlJc w:val="left"/>
      <w:pPr>
        <w:ind w:left="567" w:hanging="567"/>
      </w:pPr>
      <w:rPr>
        <w:b/>
      </w:rPr>
    </w:lvl>
    <w:lvl w:ilvl="1">
      <w:start w:val="1"/>
      <w:numFmt w:val="upperLetter"/>
      <w:lvlText w:val="%1.%2."/>
      <w:lvlJc w:val="left"/>
      <w:pPr>
        <w:ind w:left="851" w:hanging="567"/>
      </w:pPr>
      <w:rPr>
        <w:b w:val="0"/>
      </w:rPr>
    </w:lvl>
    <w:lvl w:ilvl="2">
      <w:start w:val="1"/>
      <w:numFmt w:val="decimal"/>
      <w:lvlText w:val="%1.%2.%3"/>
      <w:lvlJc w:val="right"/>
      <w:pPr>
        <w:ind w:left="2268" w:hanging="56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C7"/>
    <w:rsid w:val="002A30C7"/>
    <w:rsid w:val="003B3452"/>
    <w:rsid w:val="00460152"/>
    <w:rsid w:val="00463570"/>
    <w:rsid w:val="004B60FF"/>
    <w:rsid w:val="005C6420"/>
    <w:rsid w:val="0072094F"/>
    <w:rsid w:val="0075433C"/>
    <w:rsid w:val="0078764D"/>
    <w:rsid w:val="00815D29"/>
    <w:rsid w:val="00903C05"/>
    <w:rsid w:val="00A8556E"/>
    <w:rsid w:val="00A94499"/>
    <w:rsid w:val="00C07156"/>
    <w:rsid w:val="00C427C8"/>
    <w:rsid w:val="00CF3309"/>
    <w:rsid w:val="00D83489"/>
    <w:rsid w:val="00F30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E4A72"/>
  <w15:docId w15:val="{F31DA951-B02B-4BD7-AAF8-FA9DFA4A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796"/>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uiPriority w:val="59"/>
    <w:rsid w:val="008A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A5C24"/>
    <w:pPr>
      <w:ind w:left="720"/>
      <w:contextualSpacing/>
    </w:pPr>
  </w:style>
  <w:style w:type="paragraph" w:styleId="Listapunktowana">
    <w:name w:val="List Bullet"/>
    <w:basedOn w:val="Normalny"/>
    <w:uiPriority w:val="99"/>
    <w:unhideWhenUsed/>
    <w:rsid w:val="00EF3A7D"/>
    <w:pPr>
      <w:numPr>
        <w:numId w:val="1"/>
      </w:numPr>
      <w:contextualSpacing/>
    </w:pPr>
  </w:style>
  <w:style w:type="character" w:styleId="Pogrubienie">
    <w:name w:val="Strong"/>
    <w:basedOn w:val="Domylnaczcionkaakapitu"/>
    <w:uiPriority w:val="22"/>
    <w:qFormat/>
    <w:rsid w:val="0086734B"/>
    <w:rPr>
      <w:b/>
      <w:bCs/>
    </w:rPr>
  </w:style>
  <w:style w:type="paragraph" w:styleId="Bezodstpw">
    <w:name w:val="No Spacing"/>
    <w:uiPriority w:val="1"/>
    <w:qFormat/>
    <w:rsid w:val="0090290D"/>
    <w:pPr>
      <w:spacing w:after="0" w:line="240" w:lineRule="auto"/>
    </w:pPr>
  </w:style>
  <w:style w:type="paragraph" w:styleId="Tekstdymka">
    <w:name w:val="Balloon Text"/>
    <w:basedOn w:val="Normalny"/>
    <w:link w:val="TekstdymkaZnak"/>
    <w:uiPriority w:val="99"/>
    <w:semiHidden/>
    <w:unhideWhenUsed/>
    <w:rsid w:val="00EE2E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2E2B"/>
    <w:rPr>
      <w:rFonts w:ascii="Tahoma" w:hAnsi="Tahoma" w:cs="Tahoma"/>
      <w:sz w:val="16"/>
      <w:szCs w:val="16"/>
    </w:rPr>
  </w:style>
  <w:style w:type="paragraph" w:styleId="Tekstprzypisukocowego">
    <w:name w:val="endnote text"/>
    <w:basedOn w:val="Normalny"/>
    <w:link w:val="TekstprzypisukocowegoZnak"/>
    <w:uiPriority w:val="99"/>
    <w:semiHidden/>
    <w:unhideWhenUsed/>
    <w:rsid w:val="007F18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1805"/>
    <w:rPr>
      <w:sz w:val="20"/>
      <w:szCs w:val="20"/>
    </w:rPr>
  </w:style>
  <w:style w:type="character" w:styleId="Odwoanieprzypisukocowego">
    <w:name w:val="endnote reference"/>
    <w:basedOn w:val="Domylnaczcionkaakapitu"/>
    <w:uiPriority w:val="99"/>
    <w:semiHidden/>
    <w:unhideWhenUsed/>
    <w:rsid w:val="007F1805"/>
    <w:rPr>
      <w:vertAlign w:val="superscript"/>
    </w:rPr>
  </w:style>
  <w:style w:type="paragraph" w:styleId="Nagwek">
    <w:name w:val="header"/>
    <w:basedOn w:val="Normalny"/>
    <w:link w:val="NagwekZnak"/>
    <w:uiPriority w:val="99"/>
    <w:unhideWhenUsed/>
    <w:rsid w:val="00D840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094"/>
  </w:style>
  <w:style w:type="paragraph" w:styleId="Stopka">
    <w:name w:val="footer"/>
    <w:basedOn w:val="Normalny"/>
    <w:link w:val="StopkaZnak"/>
    <w:uiPriority w:val="99"/>
    <w:unhideWhenUsed/>
    <w:rsid w:val="00D840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094"/>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E9684CFFB3234EA42456FD6BC9327C" ma:contentTypeVersion="7" ma:contentTypeDescription="Utwórz nowy dokument." ma:contentTypeScope="" ma:versionID="6d1d7a939096ec20d6ad1ba9f5cf0e55">
  <xsd:schema xmlns:xsd="http://www.w3.org/2001/XMLSchema" xmlns:xs="http://www.w3.org/2001/XMLSchema" xmlns:p="http://schemas.microsoft.com/office/2006/metadata/properties" xmlns:ns2="2b56b0e8-85b6-4553-a8ca-6e2e2bf03a9e" targetNamespace="http://schemas.microsoft.com/office/2006/metadata/properties" ma:root="true" ma:fieldsID="b1d3edb4249cc047f918e3f78cfbafca" ns2:_="">
    <xsd:import namespace="2b56b0e8-85b6-4553-a8ca-6e2e2bf03a9e"/>
    <xsd:element name="properties">
      <xsd:complexType>
        <xsd:sequence>
          <xsd:element name="documentManagement">
            <xsd:complexType>
              <xsd:all>
                <xsd:element ref="ns2:Status" minOccurs="0"/>
                <xsd:element ref="ns2:e4xd" minOccurs="0"/>
                <xsd:element ref="ns2:e4h4" minOccurs="0"/>
                <xsd:element ref="ns2:wnuk" minOccurs="0"/>
                <xsd:element ref="ns2:Osoba_x0020_z_x0020_DZ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6b0e8-85b6-4553-a8ca-6e2e2bf03a9e" elementFormDefault="qualified">
    <xsd:import namespace="http://schemas.microsoft.com/office/2006/documentManagement/types"/>
    <xsd:import namespace="http://schemas.microsoft.com/office/infopath/2007/PartnerControls"/>
    <xsd:element name="Status" ma:index="8" nillable="true" ma:displayName="Status" ma:default="Przygotowanie dokumentacji" ma:format="Dropdown" ma:internalName="Status">
      <xsd:simpleType>
        <xsd:restriction base="dms:Choice">
          <xsd:enumeration value="Przygotowanie dokumentacji"/>
          <xsd:enumeration value="Przetarg w toku"/>
          <xsd:enumeration value="Umowa obowiązuje"/>
          <xsd:enumeration value="Umowa zakończona"/>
        </xsd:restriction>
      </xsd:simpleType>
    </xsd:element>
    <xsd:element name="e4xd" ma:index="9" nillable="true" ma:displayName="Data zawarcia umowy" ma:format="DateOnly" ma:internalName="e4xd">
      <xsd:simpleType>
        <xsd:restriction base="dms:DateTime"/>
      </xsd:simpleType>
    </xsd:element>
    <xsd:element name="e4h4" ma:index="10" nillable="true" ma:displayName="Data końca umowy" ma:format="DateOnly" ma:internalName="e4h4">
      <xsd:simpleType>
        <xsd:restriction base="dms:DateTime"/>
      </xsd:simpleType>
    </xsd:element>
    <xsd:element name="wnuk" ma:index="11" nillable="true" ma:displayName="Nr umowy" ma:internalName="wnuk">
      <xsd:simpleType>
        <xsd:restriction base="dms:Text"/>
      </xsd:simpleType>
    </xsd:element>
    <xsd:element name="Osoba_x0020_z_x0020_DZP" ma:index="12" nillable="true" ma:displayName="Osoba z DZP" ma:internalName="Osoba_x0020_z_x0020_DZ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c4KgtwMFwK480HuhJImwzgdT3Qg==">AMUW2mVZ2i1gZSKOogeMCwidEmY9iNxw3Y2u2jSEYOn768hf7qsVeUlZFOA7BuRGQRIk7KUZf9npCUNJsp5MYEhbm8jTTahm7t/Q9+7Z+g+9ANfOAHy24JwMa3XJljvVkZXTgNpsvDr6</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e4xd xmlns="2b56b0e8-85b6-4553-a8ca-6e2e2bf03a9e" xsi:nil="true"/>
    <Status xmlns="2b56b0e8-85b6-4553-a8ca-6e2e2bf03a9e">Przygotowanie dokumentacji</Status>
    <e4h4 xmlns="2b56b0e8-85b6-4553-a8ca-6e2e2bf03a9e" xsi:nil="true"/>
    <Osoba_x0020_z_x0020_DZP xmlns="2b56b0e8-85b6-4553-a8ca-6e2e2bf03a9e" xsi:nil="true"/>
    <wnuk xmlns="2b56b0e8-85b6-4553-a8ca-6e2e2bf03a9e" xsi:nil="true"/>
  </documentManagement>
</p:properties>
</file>

<file path=customXml/itemProps1.xml><?xml version="1.0" encoding="utf-8"?>
<ds:datastoreItem xmlns:ds="http://schemas.openxmlformats.org/officeDocument/2006/customXml" ds:itemID="{316B7D69-5931-4C63-8A01-74F45129DE67}">
  <ds:schemaRefs>
    <ds:schemaRef ds:uri="http://schemas.microsoft.com/sharepoint/v3/contenttype/forms"/>
  </ds:schemaRefs>
</ds:datastoreItem>
</file>

<file path=customXml/itemProps2.xml><?xml version="1.0" encoding="utf-8"?>
<ds:datastoreItem xmlns:ds="http://schemas.openxmlformats.org/officeDocument/2006/customXml" ds:itemID="{B826409F-2A35-4E47-8101-D963CB876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6b0e8-85b6-4553-a8ca-6e2e2bf03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2EE7BDA5-8EDE-4863-AF48-CE77CEC7EBD7}">
  <ds:schemaRefs>
    <ds:schemaRef ds:uri="http://schemas.microsoft.com/office/2006/documentManagement/types"/>
    <ds:schemaRef ds:uri="http://purl.org/dc/dcmitype/"/>
    <ds:schemaRef ds:uri="http://www.w3.org/XML/1998/namespace"/>
    <ds:schemaRef ds:uri="2b56b0e8-85b6-4553-a8ca-6e2e2bf03a9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2165</Words>
  <Characters>12990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pmichalski</dc:creator>
  <cp:lastModifiedBy>Przemysław Żółtowski</cp:lastModifiedBy>
  <cp:revision>15</cp:revision>
  <dcterms:created xsi:type="dcterms:W3CDTF">2021-09-08T13:33:00Z</dcterms:created>
  <dcterms:modified xsi:type="dcterms:W3CDTF">2021-12-20T16:39:00Z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0x0101002EE9684CFFB3234EA42456FD6BC9327C</vt:lpwstr>
  </property>
</Properties>
</file>