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C2C6B">
        <w:rPr>
          <w:rFonts w:ascii="Times New Roman" w:eastAsia="Times New Roman" w:hAnsi="Times New Roman" w:cs="Times New Roman"/>
          <w:lang w:eastAsia="pl-PL"/>
        </w:rPr>
        <w:t>29</w:t>
      </w:r>
      <w:r>
        <w:rPr>
          <w:rFonts w:ascii="Times New Roman" w:eastAsia="Times New Roman" w:hAnsi="Times New Roman" w:cs="Times New Roman"/>
          <w:lang w:eastAsia="pl-PL"/>
        </w:rPr>
        <w:t>.03</w:t>
      </w:r>
      <w:r w:rsidRPr="000B31EE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0B31EE" w:rsidRDefault="000B31EE" w:rsidP="000B31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B648F">
        <w:rPr>
          <w:rFonts w:ascii="Times New Roman" w:eastAsia="Times New Roman" w:hAnsi="Times New Roman" w:cs="Times New Roman"/>
          <w:lang w:eastAsia="pl-PL"/>
        </w:rPr>
        <w:t>181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AB648F">
        <w:rPr>
          <w:rFonts w:ascii="Times New Roman" w:eastAsia="Times New Roman" w:hAnsi="Times New Roman" w:cs="Times New Roman"/>
          <w:lang w:eastAsia="pl-PL"/>
        </w:rPr>
        <w:t>1</w:t>
      </w:r>
      <w:r w:rsidRPr="000B31EE">
        <w:rPr>
          <w:rFonts w:ascii="Times New Roman" w:eastAsia="Times New Roman" w:hAnsi="Times New Roman" w:cs="Times New Roman"/>
          <w:lang w:eastAsia="pl-PL"/>
        </w:rPr>
        <w:t>/AGD/</w:t>
      </w:r>
      <w:r w:rsidR="00DC2C6B">
        <w:rPr>
          <w:rFonts w:ascii="Times New Roman" w:eastAsia="Times New Roman" w:hAnsi="Times New Roman" w:cs="Times New Roman"/>
          <w:lang w:eastAsia="pl-PL"/>
        </w:rPr>
        <w:t>355</w:t>
      </w:r>
      <w:bookmarkStart w:id="0" w:name="_GoBack"/>
      <w:bookmarkEnd w:id="0"/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AB648F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648F" w:rsidRPr="00AB648F" w:rsidRDefault="000B31EE" w:rsidP="00AB648F">
      <w:pPr>
        <w:pStyle w:val="Legenda"/>
        <w:spacing w:line="276" w:lineRule="auto"/>
        <w:rPr>
          <w:rFonts w:ascii="Times New Roman" w:hAnsi="Times New Roman"/>
          <w:i/>
          <w:sz w:val="22"/>
          <w:szCs w:val="22"/>
        </w:rPr>
      </w:pPr>
      <w:r w:rsidRPr="00AB648F">
        <w:rPr>
          <w:rFonts w:ascii="Times New Roman" w:hAnsi="Times New Roman"/>
          <w:sz w:val="22"/>
          <w:szCs w:val="22"/>
        </w:rPr>
        <w:t>Dotyczy postępowania w trybie podstawowym nr DZP-361/</w:t>
      </w:r>
      <w:r w:rsidR="00AB648F" w:rsidRPr="00AB648F">
        <w:rPr>
          <w:rFonts w:ascii="Times New Roman" w:hAnsi="Times New Roman"/>
          <w:sz w:val="22"/>
          <w:szCs w:val="22"/>
        </w:rPr>
        <w:t>181</w:t>
      </w:r>
      <w:r w:rsidRPr="00AB648F">
        <w:rPr>
          <w:rFonts w:ascii="Times New Roman" w:hAnsi="Times New Roman"/>
          <w:sz w:val="22"/>
          <w:szCs w:val="22"/>
        </w:rPr>
        <w:t>/202</w:t>
      </w:r>
      <w:r w:rsidR="00AB648F" w:rsidRPr="00AB648F">
        <w:rPr>
          <w:rFonts w:ascii="Times New Roman" w:hAnsi="Times New Roman"/>
          <w:sz w:val="22"/>
          <w:szCs w:val="22"/>
        </w:rPr>
        <w:t>1</w:t>
      </w:r>
      <w:r w:rsidRPr="00AB64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B648F" w:rsidRPr="00AB648F">
        <w:rPr>
          <w:rFonts w:ascii="Times New Roman" w:hAnsi="Times New Roman"/>
          <w:sz w:val="22"/>
          <w:szCs w:val="22"/>
        </w:rPr>
        <w:t>p</w:t>
      </w:r>
      <w:r w:rsidRPr="00AB648F">
        <w:rPr>
          <w:rFonts w:ascii="Times New Roman" w:hAnsi="Times New Roman"/>
          <w:sz w:val="22"/>
          <w:szCs w:val="22"/>
        </w:rPr>
        <w:t>n</w:t>
      </w:r>
      <w:proofErr w:type="spellEnd"/>
      <w:r w:rsidRPr="00AB648F">
        <w:rPr>
          <w:rFonts w:ascii="Times New Roman" w:hAnsi="Times New Roman"/>
          <w:sz w:val="22"/>
          <w:szCs w:val="22"/>
        </w:rPr>
        <w:t xml:space="preserve"> „</w:t>
      </w:r>
      <w:r w:rsidR="00AB648F" w:rsidRPr="00AB648F">
        <w:rPr>
          <w:rFonts w:ascii="Times New Roman" w:hAnsi="Times New Roman"/>
          <w:sz w:val="22"/>
          <w:szCs w:val="22"/>
        </w:rPr>
        <w:t>Zestaw EEG wraz z dedykowanym sprzętem i materiałami eksploatacyjnymi</w:t>
      </w:r>
      <w:r w:rsidR="00AB648F" w:rsidRPr="00AB648F">
        <w:rPr>
          <w:rFonts w:ascii="Times New Roman" w:hAnsi="Times New Roman"/>
          <w:i/>
          <w:sz w:val="22"/>
          <w:szCs w:val="22"/>
        </w:rPr>
        <w:t>„</w:t>
      </w:r>
    </w:p>
    <w:p w:rsidR="00CC10BA" w:rsidRPr="00CC10BA" w:rsidRDefault="00CC10BA" w:rsidP="00CC10BA">
      <w:pPr>
        <w:spacing w:after="0" w:line="360" w:lineRule="auto"/>
        <w:rPr>
          <w:rFonts w:ascii="Times New Roman" w:hAnsi="Times New Roman" w:cs="Times New Roman"/>
          <w:color w:val="000000"/>
          <w:lang w:eastAsia="pl-PL"/>
        </w:rPr>
      </w:pPr>
    </w:p>
    <w:p w:rsidR="00CC10BA" w:rsidRPr="00CC10BA" w:rsidRDefault="00CC10BA" w:rsidP="00CC10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10BA" w:rsidRPr="00CC10BA" w:rsidRDefault="00EF0616" w:rsidP="00EF0616">
      <w:pPr>
        <w:pStyle w:val="NormalnyWeb"/>
        <w:spacing w:line="276" w:lineRule="auto"/>
        <w:ind w:firstLine="708"/>
        <w:jc w:val="both"/>
        <w:rPr>
          <w:iCs/>
          <w:color w:val="000000"/>
          <w:sz w:val="22"/>
          <w:szCs w:val="22"/>
        </w:rPr>
      </w:pPr>
      <w:r w:rsidRPr="00CC10BA">
        <w:rPr>
          <w:iCs/>
          <w:color w:val="000000"/>
          <w:sz w:val="22"/>
          <w:szCs w:val="22"/>
        </w:rPr>
        <w:t xml:space="preserve">W związku z pytaniami, które Zamawiający otrzymał w dniu 25.03.2022 r. oraz stosownie do art. </w:t>
      </w:r>
      <w:r w:rsidR="00CC10BA" w:rsidRPr="00CC10BA">
        <w:rPr>
          <w:iCs/>
          <w:color w:val="000000"/>
          <w:sz w:val="22"/>
          <w:szCs w:val="22"/>
        </w:rPr>
        <w:t xml:space="preserve"> 284 ust. 6 ustawy z dnia 11 września 2019 r. – Prawo zamówień publicznych (Dz. U. z 2021 r. poz. 1129, z </w:t>
      </w:r>
      <w:proofErr w:type="spellStart"/>
      <w:r w:rsidR="00CC10BA" w:rsidRPr="00CC10BA">
        <w:rPr>
          <w:iCs/>
          <w:color w:val="000000"/>
          <w:sz w:val="22"/>
          <w:szCs w:val="22"/>
        </w:rPr>
        <w:t>późn</w:t>
      </w:r>
      <w:proofErr w:type="spellEnd"/>
      <w:r w:rsidR="00CC10BA" w:rsidRPr="00CC10BA">
        <w:rPr>
          <w:iCs/>
          <w:color w:val="000000"/>
          <w:sz w:val="22"/>
          <w:szCs w:val="22"/>
        </w:rPr>
        <w:t>. zm.) Zamawiający poniżej przedstawia treść otrzymanych zapytań wraz z wyjaśnieniami.</w:t>
      </w:r>
    </w:p>
    <w:p w:rsidR="00CC10BA" w:rsidRDefault="00CC10BA" w:rsidP="00EF0616">
      <w:pPr>
        <w:pStyle w:val="NormalnyWeb"/>
        <w:spacing w:line="276" w:lineRule="auto"/>
        <w:ind w:firstLine="708"/>
        <w:jc w:val="both"/>
        <w:rPr>
          <w:iCs/>
          <w:color w:val="000000"/>
          <w:sz w:val="22"/>
          <w:szCs w:val="22"/>
        </w:rPr>
      </w:pPr>
    </w:p>
    <w:p w:rsidR="00EF0616" w:rsidRDefault="00EF0616" w:rsidP="00EF0616">
      <w:pPr>
        <w:pStyle w:val="NormalnyWeb"/>
        <w:spacing w:line="360" w:lineRule="auto"/>
        <w:rPr>
          <w:iCs/>
          <w:color w:val="000000"/>
          <w:sz w:val="22"/>
          <w:szCs w:val="22"/>
        </w:rPr>
      </w:pPr>
    </w:p>
    <w:p w:rsidR="00CC10BA" w:rsidRPr="00CC10BA" w:rsidRDefault="00CC10BA" w:rsidP="00CC10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10BA">
        <w:rPr>
          <w:rFonts w:ascii="Times New Roman" w:eastAsia="Times New Roman" w:hAnsi="Times New Roman" w:cs="Times New Roman"/>
          <w:b/>
          <w:lang w:eastAsia="pl-PL"/>
        </w:rPr>
        <w:t>Pytanie:</w:t>
      </w:r>
    </w:p>
    <w:p w:rsidR="00AB648F" w:rsidRPr="00AB648F" w:rsidRDefault="00AB648F" w:rsidP="00AB648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AB648F">
        <w:rPr>
          <w:rFonts w:cs="Times New Roman"/>
          <w:color w:val="000000"/>
          <w:sz w:val="22"/>
          <w:szCs w:val="22"/>
        </w:rPr>
        <w:t>Po zapoznaniem się z treścią SIWZ do w/w postępowania przetargowego, zwracamy się z prośbą               o odpowiedzi na następujące pytanie:</w:t>
      </w:r>
    </w:p>
    <w:p w:rsidR="00AB648F" w:rsidRPr="00AB648F" w:rsidRDefault="00AB648F" w:rsidP="00AB648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AB648F" w:rsidRPr="00AB648F" w:rsidRDefault="00AB648F" w:rsidP="00AB648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AB648F" w:rsidRPr="00AB648F" w:rsidRDefault="00AB648F" w:rsidP="00AB648F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AB648F">
        <w:rPr>
          <w:rFonts w:cs="Times New Roman"/>
          <w:b/>
          <w:bCs/>
          <w:color w:val="000000"/>
          <w:sz w:val="22"/>
          <w:szCs w:val="22"/>
        </w:rPr>
        <w:t>Dotyczy OPISU PRZEDMIOTU ZAMÓWIENIA  pkt 1.b</w:t>
      </w:r>
    </w:p>
    <w:p w:rsidR="00AB648F" w:rsidRPr="00AB648F" w:rsidRDefault="00AB648F" w:rsidP="00AB648F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 xml:space="preserve">1. Czy Zamawiający w pkt 1.b. dopuści rozwiązanie dostarczenia zewnętrznego akumulatora                      </w:t>
      </w:r>
      <w:proofErr w:type="spellStart"/>
      <w:r w:rsidRPr="00AB648F">
        <w:rPr>
          <w:sz w:val="22"/>
          <w:szCs w:val="22"/>
        </w:rPr>
        <w:t>litowo</w:t>
      </w:r>
      <w:proofErr w:type="spellEnd"/>
      <w:r w:rsidRPr="00AB648F">
        <w:rPr>
          <w:sz w:val="22"/>
          <w:szCs w:val="22"/>
        </w:rPr>
        <w:t>-jonowego 6,6V, pojemności 12500mAh i czasie ładowania 7 godzin?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>Rozwiązanie o w/w parametrach jest bardziej optymalne i oferuje lepsze parametry pod następującymi względami: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 xml:space="preserve">a) rodzaj oferowanego akumulatora - ogniwa </w:t>
      </w:r>
      <w:proofErr w:type="spellStart"/>
      <w:r w:rsidRPr="00AB648F">
        <w:rPr>
          <w:sz w:val="22"/>
          <w:szCs w:val="22"/>
        </w:rPr>
        <w:t>litowo</w:t>
      </w:r>
      <w:proofErr w:type="spellEnd"/>
      <w:r w:rsidRPr="00AB648F">
        <w:rPr>
          <w:sz w:val="22"/>
          <w:szCs w:val="22"/>
        </w:rPr>
        <w:t>-jonowo, które są bardziej wydajne i optymalne pod kątem czasu pracy  oraz żywotności akumulatora.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>b) czas i częstotliwość ładowania akumulatora - oferowany akumulator o pojemności 12500mAh i czasie ładowania 7 godzin zgodnie z kartą techniczną produktu zapewnia dłuższe i ciągłe (nieprzerwane)       działanie akumulatora przy zmniejszonym cyklu ładowania akumulatora.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>Oferowane rozwiązanie pod tym względem jest bardziej optymalne, niż wymagane przez Zamawiającego, ponieważ oferowany akumulator zgodnie z kartą techniczną będzie zapewniał nieprzerwaną pracę przez        22 godziny dla wymaganej przez Zamawiającego konfiguracji 32 kanałowego wzmacniacza EEG + kanałów AUX/</w:t>
      </w:r>
      <w:proofErr w:type="spellStart"/>
      <w:r w:rsidRPr="00AB648F">
        <w:rPr>
          <w:sz w:val="22"/>
          <w:szCs w:val="22"/>
        </w:rPr>
        <w:t>Bipolar</w:t>
      </w:r>
      <w:proofErr w:type="spellEnd"/>
      <w:r w:rsidRPr="00AB648F">
        <w:rPr>
          <w:sz w:val="22"/>
          <w:szCs w:val="22"/>
        </w:rPr>
        <w:t>.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>Takie rozwiązanie zapewni również mniejsze zużycie akumulatora i jego dłuższą żywotność.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>c) brak funkcji "</w:t>
      </w:r>
      <w:proofErr w:type="spellStart"/>
      <w:r w:rsidRPr="00AB648F">
        <w:rPr>
          <w:sz w:val="22"/>
          <w:szCs w:val="22"/>
        </w:rPr>
        <w:t>shut</w:t>
      </w:r>
      <w:proofErr w:type="spellEnd"/>
      <w:r w:rsidRPr="00AB648F">
        <w:rPr>
          <w:sz w:val="22"/>
          <w:szCs w:val="22"/>
        </w:rPr>
        <w:t xml:space="preserve">-down", funkcja taka nie jest potrzebna ani wymagana w przypadku akumulatorów  </w:t>
      </w:r>
      <w:proofErr w:type="spellStart"/>
      <w:r w:rsidRPr="00AB648F">
        <w:rPr>
          <w:sz w:val="22"/>
          <w:szCs w:val="22"/>
        </w:rPr>
        <w:t>litowo</w:t>
      </w:r>
      <w:proofErr w:type="spellEnd"/>
      <w:r w:rsidRPr="00AB648F">
        <w:rPr>
          <w:sz w:val="22"/>
          <w:szCs w:val="22"/>
        </w:rPr>
        <w:t>-jonowych.</w:t>
      </w:r>
    </w:p>
    <w:p w:rsidR="00AB648F" w:rsidRPr="00AB648F" w:rsidRDefault="00AB648F" w:rsidP="00AB648F">
      <w:pPr>
        <w:pStyle w:val="Textbody"/>
        <w:jc w:val="both"/>
        <w:rPr>
          <w:sz w:val="22"/>
          <w:szCs w:val="22"/>
        </w:rPr>
      </w:pPr>
      <w:r w:rsidRPr="00AB648F">
        <w:rPr>
          <w:sz w:val="22"/>
          <w:szCs w:val="22"/>
        </w:rPr>
        <w:t xml:space="preserve">Akumulatory </w:t>
      </w:r>
      <w:proofErr w:type="spellStart"/>
      <w:r w:rsidRPr="00AB648F">
        <w:rPr>
          <w:sz w:val="22"/>
          <w:szCs w:val="22"/>
        </w:rPr>
        <w:t>litowo</w:t>
      </w:r>
      <w:proofErr w:type="spellEnd"/>
      <w:r w:rsidRPr="00AB648F">
        <w:rPr>
          <w:sz w:val="22"/>
          <w:szCs w:val="22"/>
        </w:rPr>
        <w:t>-jonowe o większej pojemności ogniw i związanej z tym stabilności pracy,                  nie powodują przegrzewania się akumulatora i nie jest wymagane jego "odłączenie" w przypadku     zwiększonego poboru prądu.</w:t>
      </w:r>
    </w:p>
    <w:p w:rsidR="00903873" w:rsidRDefault="00903873" w:rsidP="00903873">
      <w:pPr>
        <w:pStyle w:val="Zwykytekst"/>
        <w:spacing w:line="360" w:lineRule="auto"/>
        <w:rPr>
          <w:rFonts w:ascii="Times New Roman" w:hAnsi="Times New Roman" w:cs="Times New Roman"/>
          <w:szCs w:val="22"/>
        </w:rPr>
      </w:pPr>
    </w:p>
    <w:p w:rsidR="00AB648F" w:rsidRPr="00AB648F" w:rsidRDefault="00AB648F" w:rsidP="00903873">
      <w:pPr>
        <w:pStyle w:val="Zwykytekst"/>
        <w:spacing w:line="360" w:lineRule="auto"/>
        <w:rPr>
          <w:rFonts w:ascii="Times New Roman" w:hAnsi="Times New Roman" w:cs="Times New Roman"/>
          <w:b/>
          <w:szCs w:val="22"/>
        </w:rPr>
      </w:pPr>
      <w:r w:rsidRPr="00AB648F">
        <w:rPr>
          <w:rFonts w:ascii="Times New Roman" w:hAnsi="Times New Roman" w:cs="Times New Roman"/>
          <w:b/>
          <w:szCs w:val="22"/>
        </w:rPr>
        <w:t>Odpowiedź:</w:t>
      </w:r>
    </w:p>
    <w:p w:rsidR="00AB648F" w:rsidRPr="00AB648F" w:rsidRDefault="0085003E" w:rsidP="00AB648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Nie, Zamawiający n</w:t>
      </w:r>
      <w:r w:rsidR="00AB648F" w:rsidRPr="00AB648F">
        <w:rPr>
          <w:rFonts w:ascii="Times New Roman" w:hAnsi="Times New Roman" w:cs="Times New Roman"/>
          <w:color w:val="000000"/>
        </w:rPr>
        <w:t>ie</w:t>
      </w:r>
      <w:r>
        <w:rPr>
          <w:rFonts w:ascii="Times New Roman" w:hAnsi="Times New Roman" w:cs="Times New Roman"/>
          <w:color w:val="000000"/>
        </w:rPr>
        <w:t xml:space="preserve"> dopuszcza rozwiązania dostarczeni</w:t>
      </w:r>
      <w:r w:rsidR="00CC10B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zewnętrznego akumulatora</w:t>
      </w:r>
      <w:r w:rsidR="00AB648F" w:rsidRPr="00AB648F">
        <w:rPr>
          <w:rFonts w:ascii="Times New Roman" w:hAnsi="Times New Roman" w:cs="Times New Roman"/>
          <w:color w:val="000000"/>
        </w:rPr>
        <w:t xml:space="preserve">. Ze względu na specyfikę prowadzonych badań naukowych zamawiającemu zależy na możliwości szybkiego ładowania akumulatorów. Badania prowadzone będą na dużych grupach osób, które będą przychodzić do laboratorium w konkretnych terminach, w krótkich odstępach czasu. Ponadto, planujemy łączenie badań EEG z badaniami </w:t>
      </w:r>
      <w:proofErr w:type="spellStart"/>
      <w:r w:rsidR="00AB648F" w:rsidRPr="00AB648F">
        <w:rPr>
          <w:rFonts w:ascii="Times New Roman" w:hAnsi="Times New Roman" w:cs="Times New Roman"/>
          <w:color w:val="000000"/>
        </w:rPr>
        <w:t>okulograficznymi</w:t>
      </w:r>
      <w:proofErr w:type="spellEnd"/>
      <w:r w:rsidR="00AB648F" w:rsidRPr="00AB648F">
        <w:rPr>
          <w:rFonts w:ascii="Times New Roman" w:hAnsi="Times New Roman" w:cs="Times New Roman"/>
          <w:color w:val="000000"/>
        </w:rPr>
        <w:t xml:space="preserve"> i badaniami fonetycznymi z użyciem USG w ramach pracy laboratoriów znajdujących się w sąsiednich pomieszczeniach, a zatem logistyka badań wymaga zwiększonych możliwości ładowania i korzystania z wymiennych akumulatorów podczas pracy z urządzeniem EEG. </w:t>
      </w:r>
    </w:p>
    <w:p w:rsidR="00AB648F" w:rsidRPr="00AB648F" w:rsidRDefault="00AB648F" w:rsidP="00AB648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AB648F">
        <w:rPr>
          <w:rFonts w:ascii="Times New Roman" w:hAnsi="Times New Roman" w:cs="Times New Roman"/>
          <w:color w:val="000000"/>
        </w:rPr>
        <w:t>Dodatkowo, posiadanie dwóch akumulatorów z możliwością szybkiego ładowania stanowi zabezpieczenie na wypadek, gdyby jeden z akumulatorów nie działał prawidłowo. W takim przypadku szybko dostępny będzie akumulator zastępczy i nie trzeba będzie rezygnować z uczestników badania zapisanych na dany dzień.</w:t>
      </w:r>
    </w:p>
    <w:p w:rsidR="00AB648F" w:rsidRPr="00AB648F" w:rsidRDefault="00AB648F" w:rsidP="00AB648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AB648F">
        <w:rPr>
          <w:rFonts w:ascii="Times New Roman" w:hAnsi="Times New Roman" w:cs="Times New Roman"/>
          <w:color w:val="000000"/>
        </w:rPr>
        <w:t>Kolejnym argumentem jest planowane rozszerzenie systemu elektrod w przyszłości. Wraz ze wzrostem liczby elektrod spada wydajność akumulatora i potrzebne jest częstsze jego ładowanie.</w:t>
      </w:r>
    </w:p>
    <w:p w:rsidR="00AB648F" w:rsidRPr="00AB648F" w:rsidRDefault="00AB648F" w:rsidP="00903873">
      <w:pPr>
        <w:pStyle w:val="Zwykytekst"/>
        <w:spacing w:line="360" w:lineRule="auto"/>
        <w:rPr>
          <w:rFonts w:ascii="Times New Roman" w:hAnsi="Times New Roman" w:cs="Times New Roman"/>
          <w:b/>
          <w:szCs w:val="22"/>
        </w:rPr>
      </w:pPr>
    </w:p>
    <w:p w:rsidR="00CC10BA" w:rsidRPr="00CC10BA" w:rsidRDefault="00CC10BA" w:rsidP="00CC10BA">
      <w:pPr>
        <w:spacing w:before="120" w:after="0" w:line="360" w:lineRule="auto"/>
        <w:rPr>
          <w:rFonts w:ascii="Times New Roman" w:hAnsi="Times New Roman"/>
        </w:rPr>
      </w:pPr>
      <w:r w:rsidRPr="00CC10BA">
        <w:rPr>
          <w:rFonts w:ascii="Times New Roman" w:hAnsi="Times New Roman"/>
        </w:rPr>
        <w:t>Zamawiający informuje, że zmienia termin składania i otwarcia ofert:</w:t>
      </w:r>
    </w:p>
    <w:p w:rsidR="00CC10BA" w:rsidRPr="00CC10BA" w:rsidRDefault="00CC10BA" w:rsidP="00CC10BA">
      <w:pPr>
        <w:spacing w:before="120" w:after="0" w:line="360" w:lineRule="auto"/>
        <w:rPr>
          <w:rFonts w:ascii="Times New Roman" w:hAnsi="Times New Roman"/>
          <w:b/>
        </w:rPr>
      </w:pPr>
      <w:r w:rsidRPr="00CC10BA">
        <w:rPr>
          <w:rFonts w:ascii="Times New Roman" w:hAnsi="Times New Roman"/>
          <w:b/>
        </w:rPr>
        <w:t>Składanie ofert</w:t>
      </w:r>
      <w:r w:rsidRPr="00CC10BA">
        <w:rPr>
          <w:rFonts w:ascii="Times New Roman" w:hAnsi="Times New Roman"/>
        </w:rPr>
        <w:t xml:space="preserve"> - z dnia </w:t>
      </w:r>
      <w:r w:rsidR="00DC5CE6">
        <w:rPr>
          <w:rFonts w:ascii="Times New Roman" w:hAnsi="Times New Roman"/>
        </w:rPr>
        <w:t>3</w:t>
      </w:r>
      <w:r w:rsidRPr="00CC10BA">
        <w:rPr>
          <w:rFonts w:ascii="Times New Roman" w:hAnsi="Times New Roman"/>
        </w:rPr>
        <w:t>1.0</w:t>
      </w:r>
      <w:r w:rsidR="00DC5CE6">
        <w:rPr>
          <w:rFonts w:ascii="Times New Roman" w:hAnsi="Times New Roman"/>
        </w:rPr>
        <w:t>3</w:t>
      </w:r>
      <w:r w:rsidRPr="00CC10BA">
        <w:rPr>
          <w:rFonts w:ascii="Times New Roman" w:hAnsi="Times New Roman"/>
        </w:rPr>
        <w:t xml:space="preserve">.2022 r. godz. 10:00 na </w:t>
      </w:r>
      <w:r w:rsidRPr="00CC10BA">
        <w:rPr>
          <w:rFonts w:ascii="Times New Roman" w:hAnsi="Times New Roman"/>
          <w:b/>
        </w:rPr>
        <w:t xml:space="preserve">dzień </w:t>
      </w:r>
      <w:r w:rsidR="00DC5CE6">
        <w:rPr>
          <w:rFonts w:ascii="Times New Roman" w:hAnsi="Times New Roman"/>
          <w:b/>
        </w:rPr>
        <w:t>0</w:t>
      </w:r>
      <w:r w:rsidRPr="00CC10BA">
        <w:rPr>
          <w:rFonts w:ascii="Times New Roman" w:hAnsi="Times New Roman"/>
          <w:b/>
        </w:rPr>
        <w:t>4.0</w:t>
      </w:r>
      <w:r w:rsidR="00DC5CE6">
        <w:rPr>
          <w:rFonts w:ascii="Times New Roman" w:hAnsi="Times New Roman"/>
          <w:b/>
        </w:rPr>
        <w:t>4</w:t>
      </w:r>
      <w:r w:rsidRPr="00CC10BA">
        <w:rPr>
          <w:rFonts w:ascii="Times New Roman" w:hAnsi="Times New Roman"/>
          <w:b/>
        </w:rPr>
        <w:t>.2022 r. godz. 10:00</w:t>
      </w:r>
    </w:p>
    <w:p w:rsidR="00CC10BA" w:rsidRPr="00CC10BA" w:rsidRDefault="00CC10BA" w:rsidP="00CC10BA">
      <w:pPr>
        <w:spacing w:before="120" w:after="0" w:line="360" w:lineRule="auto"/>
        <w:rPr>
          <w:rFonts w:ascii="Times New Roman" w:hAnsi="Times New Roman"/>
          <w:b/>
        </w:rPr>
      </w:pPr>
      <w:r w:rsidRPr="00CC10BA">
        <w:rPr>
          <w:rFonts w:ascii="Times New Roman" w:hAnsi="Times New Roman"/>
          <w:b/>
        </w:rPr>
        <w:t xml:space="preserve">Otwarcie ofert </w:t>
      </w:r>
      <w:r w:rsidRPr="00CC10BA">
        <w:rPr>
          <w:rFonts w:ascii="Times New Roman" w:hAnsi="Times New Roman"/>
        </w:rPr>
        <w:t xml:space="preserve">– z dnia </w:t>
      </w:r>
      <w:r w:rsidR="00DC5CE6">
        <w:rPr>
          <w:rFonts w:ascii="Times New Roman" w:hAnsi="Times New Roman"/>
        </w:rPr>
        <w:t>3</w:t>
      </w:r>
      <w:r w:rsidRPr="00CC10BA">
        <w:rPr>
          <w:rFonts w:ascii="Times New Roman" w:hAnsi="Times New Roman"/>
        </w:rPr>
        <w:t>1.0</w:t>
      </w:r>
      <w:r w:rsidR="00DC5CE6">
        <w:rPr>
          <w:rFonts w:ascii="Times New Roman" w:hAnsi="Times New Roman"/>
        </w:rPr>
        <w:t>3</w:t>
      </w:r>
      <w:r w:rsidRPr="00CC10BA">
        <w:rPr>
          <w:rFonts w:ascii="Times New Roman" w:hAnsi="Times New Roman"/>
        </w:rPr>
        <w:t xml:space="preserve">.2022 r. godz. 11:00 na </w:t>
      </w:r>
      <w:r w:rsidRPr="00CC10BA">
        <w:rPr>
          <w:rFonts w:ascii="Times New Roman" w:hAnsi="Times New Roman"/>
          <w:b/>
        </w:rPr>
        <w:t xml:space="preserve">dzień </w:t>
      </w:r>
      <w:r w:rsidR="00DC5CE6">
        <w:rPr>
          <w:rFonts w:ascii="Times New Roman" w:hAnsi="Times New Roman"/>
          <w:b/>
        </w:rPr>
        <w:t>0</w:t>
      </w:r>
      <w:r w:rsidRPr="00CC10BA">
        <w:rPr>
          <w:rFonts w:ascii="Times New Roman" w:hAnsi="Times New Roman"/>
          <w:b/>
        </w:rPr>
        <w:t>4.0</w:t>
      </w:r>
      <w:r w:rsidR="00DC5CE6">
        <w:rPr>
          <w:rFonts w:ascii="Times New Roman" w:hAnsi="Times New Roman"/>
          <w:b/>
        </w:rPr>
        <w:t>4</w:t>
      </w:r>
      <w:r w:rsidRPr="00CC10BA">
        <w:rPr>
          <w:rFonts w:ascii="Times New Roman" w:hAnsi="Times New Roman"/>
          <w:b/>
        </w:rPr>
        <w:t>.2022 r. godz. 11:00.</w:t>
      </w:r>
    </w:p>
    <w:p w:rsidR="00CC10BA" w:rsidRPr="00CC10BA" w:rsidRDefault="00CC10BA" w:rsidP="00CC10BA">
      <w:pPr>
        <w:spacing w:before="120" w:after="0" w:line="360" w:lineRule="auto"/>
        <w:rPr>
          <w:rFonts w:ascii="Times New Roman" w:hAnsi="Times New Roman"/>
          <w:b/>
        </w:rPr>
      </w:pPr>
      <w:r w:rsidRPr="00CC10BA">
        <w:rPr>
          <w:rFonts w:ascii="Times New Roman" w:hAnsi="Times New Roman"/>
        </w:rPr>
        <w:t xml:space="preserve">W konsekwencji Zamawiający zmienia </w:t>
      </w:r>
      <w:r w:rsidRPr="00CC10BA">
        <w:rPr>
          <w:rFonts w:ascii="Times New Roman" w:hAnsi="Times New Roman"/>
          <w:b/>
        </w:rPr>
        <w:t xml:space="preserve">termin związania ofertą </w:t>
      </w:r>
      <w:r w:rsidRPr="00CC10BA">
        <w:rPr>
          <w:rFonts w:ascii="Times New Roman" w:hAnsi="Times New Roman"/>
        </w:rPr>
        <w:t xml:space="preserve">określony w art. 8 ust. 1 specyfikacji warunków zamówienia:  z dnia </w:t>
      </w:r>
      <w:r w:rsidR="00DC5CE6">
        <w:rPr>
          <w:rFonts w:ascii="Times New Roman" w:hAnsi="Times New Roman"/>
        </w:rPr>
        <w:t>2</w:t>
      </w:r>
      <w:r w:rsidRPr="00CC10BA">
        <w:rPr>
          <w:rFonts w:ascii="Times New Roman" w:hAnsi="Times New Roman"/>
        </w:rPr>
        <w:t>9.0</w:t>
      </w:r>
      <w:r w:rsidR="00DC5CE6">
        <w:rPr>
          <w:rFonts w:ascii="Times New Roman" w:hAnsi="Times New Roman"/>
        </w:rPr>
        <w:t>4</w:t>
      </w:r>
      <w:r w:rsidRPr="00CC10BA">
        <w:rPr>
          <w:rFonts w:ascii="Times New Roman" w:hAnsi="Times New Roman"/>
        </w:rPr>
        <w:t xml:space="preserve">.2022 r. na dzień </w:t>
      </w:r>
      <w:r w:rsidR="00DC5CE6">
        <w:rPr>
          <w:rFonts w:ascii="Times New Roman" w:hAnsi="Times New Roman"/>
          <w:b/>
        </w:rPr>
        <w:t>03</w:t>
      </w:r>
      <w:r w:rsidRPr="00CC10BA">
        <w:rPr>
          <w:rFonts w:ascii="Times New Roman" w:hAnsi="Times New Roman"/>
          <w:b/>
        </w:rPr>
        <w:t>.0</w:t>
      </w:r>
      <w:r w:rsidR="00DC5CE6">
        <w:rPr>
          <w:rFonts w:ascii="Times New Roman" w:hAnsi="Times New Roman"/>
          <w:b/>
        </w:rPr>
        <w:t>5</w:t>
      </w:r>
      <w:r w:rsidRPr="00CC10BA">
        <w:rPr>
          <w:rFonts w:ascii="Times New Roman" w:hAnsi="Times New Roman"/>
          <w:b/>
        </w:rPr>
        <w:t>.2022 r.</w:t>
      </w:r>
    </w:p>
    <w:p w:rsidR="00903873" w:rsidRPr="00AB648F" w:rsidRDefault="00903873" w:rsidP="00903873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</w:p>
    <w:p w:rsidR="00A40B5C" w:rsidRPr="00AB648F" w:rsidRDefault="00A40B5C" w:rsidP="009038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7837" w:rsidRPr="00AB648F" w:rsidRDefault="008B7837" w:rsidP="00FA13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A130B" w:rsidRPr="00AB648F" w:rsidRDefault="00FA130B" w:rsidP="00FA130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  <w:r w:rsidRPr="00AB648F"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Pr="00AB648F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B648F">
        <w:rPr>
          <w:rFonts w:ascii="Times New Roman" w:eastAsia="Times New Roman" w:hAnsi="Times New Roman" w:cs="Times New Roman"/>
        </w:rPr>
        <w:t>Pełnomocnik Rektora ds. zamówień publicznych</w:t>
      </w:r>
    </w:p>
    <w:p w:rsidR="00FA130B" w:rsidRPr="00AB648F" w:rsidRDefault="00FA130B" w:rsidP="00FA130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A5479F" w:rsidRPr="00AB648F" w:rsidRDefault="00A5479F" w:rsidP="00FA130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Pr="00AB648F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 w:rsidRPr="00AB648F"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RPr="00AB648F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BFB" w:rsidRDefault="007A1BFB" w:rsidP="00D178D9">
      <w:pPr>
        <w:spacing w:after="0" w:line="240" w:lineRule="auto"/>
      </w:pPr>
      <w:r>
        <w:separator/>
      </w:r>
    </w:p>
  </w:endnote>
  <w:endnote w:type="continuationSeparator" w:id="0">
    <w:p w:rsidR="007A1BFB" w:rsidRDefault="007A1BFB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5C4918" w:rsidRDefault="00DE1E1B" w:rsidP="003302E3">
    <w:pPr>
      <w:spacing w:after="0"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BFB" w:rsidRDefault="007A1BFB" w:rsidP="00D178D9">
      <w:pPr>
        <w:spacing w:after="0" w:line="240" w:lineRule="auto"/>
      </w:pPr>
      <w:r>
        <w:separator/>
      </w:r>
    </w:p>
  </w:footnote>
  <w:footnote w:type="continuationSeparator" w:id="0">
    <w:p w:rsidR="007A1BFB" w:rsidRDefault="007A1BFB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D64DA" w:rsidRPr="003D64D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D64DA" w:rsidRPr="003D64D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418EF"/>
    <w:rsid w:val="0009007D"/>
    <w:rsid w:val="000B31EE"/>
    <w:rsid w:val="000F5431"/>
    <w:rsid w:val="000F73C8"/>
    <w:rsid w:val="002018A7"/>
    <w:rsid w:val="00205648"/>
    <w:rsid w:val="00262730"/>
    <w:rsid w:val="002B2694"/>
    <w:rsid w:val="002B3C65"/>
    <w:rsid w:val="002C0CFD"/>
    <w:rsid w:val="002D280C"/>
    <w:rsid w:val="002D5528"/>
    <w:rsid w:val="002D64AA"/>
    <w:rsid w:val="00302E73"/>
    <w:rsid w:val="0032556A"/>
    <w:rsid w:val="003302E3"/>
    <w:rsid w:val="003772E8"/>
    <w:rsid w:val="003A209A"/>
    <w:rsid w:val="003D64DA"/>
    <w:rsid w:val="003E119D"/>
    <w:rsid w:val="003E2EB2"/>
    <w:rsid w:val="004B016C"/>
    <w:rsid w:val="004F0028"/>
    <w:rsid w:val="0050370E"/>
    <w:rsid w:val="00543FE6"/>
    <w:rsid w:val="00574E17"/>
    <w:rsid w:val="005C6110"/>
    <w:rsid w:val="005F1869"/>
    <w:rsid w:val="006E1D7C"/>
    <w:rsid w:val="006E210C"/>
    <w:rsid w:val="00746D23"/>
    <w:rsid w:val="00774A41"/>
    <w:rsid w:val="007A1BFB"/>
    <w:rsid w:val="007E34F4"/>
    <w:rsid w:val="0085003E"/>
    <w:rsid w:val="008547FB"/>
    <w:rsid w:val="00856E4E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648F"/>
    <w:rsid w:val="00AC0D29"/>
    <w:rsid w:val="00AE368E"/>
    <w:rsid w:val="00B83416"/>
    <w:rsid w:val="00BE2F9A"/>
    <w:rsid w:val="00BF2361"/>
    <w:rsid w:val="00C12176"/>
    <w:rsid w:val="00C273D2"/>
    <w:rsid w:val="00CA076C"/>
    <w:rsid w:val="00CA76C3"/>
    <w:rsid w:val="00CC10BA"/>
    <w:rsid w:val="00CF0BD3"/>
    <w:rsid w:val="00D178D9"/>
    <w:rsid w:val="00D45642"/>
    <w:rsid w:val="00DC2C6B"/>
    <w:rsid w:val="00DC5CE6"/>
    <w:rsid w:val="00DE1E1B"/>
    <w:rsid w:val="00E0213D"/>
    <w:rsid w:val="00E147F0"/>
    <w:rsid w:val="00E56F51"/>
    <w:rsid w:val="00E7692F"/>
    <w:rsid w:val="00E93DD8"/>
    <w:rsid w:val="00ED3F07"/>
    <w:rsid w:val="00EF0616"/>
    <w:rsid w:val="00F01ED7"/>
    <w:rsid w:val="00F70B16"/>
    <w:rsid w:val="00F95D69"/>
    <w:rsid w:val="00FA130B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8241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styleId="Legenda">
    <w:name w:val="caption"/>
    <w:basedOn w:val="Normalny"/>
    <w:next w:val="Normalny"/>
    <w:semiHidden/>
    <w:unhideWhenUsed/>
    <w:qFormat/>
    <w:rsid w:val="00AB64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xtbody">
    <w:name w:val="Text body"/>
    <w:basedOn w:val="Standard"/>
    <w:rsid w:val="00AB648F"/>
    <w:pPr>
      <w:widowControl/>
      <w:suppressAutoHyphens w:val="0"/>
      <w:spacing w:after="12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2F2023-1F00-41CF-A836-75FBE6AA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Agnieszka Giers-Dzięgielewska</cp:lastModifiedBy>
  <cp:revision>4</cp:revision>
  <cp:lastPrinted>2022-03-22T11:36:00Z</cp:lastPrinted>
  <dcterms:created xsi:type="dcterms:W3CDTF">2022-03-28T12:43:00Z</dcterms:created>
  <dcterms:modified xsi:type="dcterms:W3CDTF">2022-03-29T13:51:00Z</dcterms:modified>
</cp:coreProperties>
</file>