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C7" w:rsidRPr="00440096" w:rsidRDefault="00682DC7" w:rsidP="00682DC7">
      <w:pPr>
        <w:spacing w:line="360" w:lineRule="auto"/>
        <w:jc w:val="center"/>
        <w:rPr>
          <w:rFonts w:ascii="Opensans" w:eastAsia="Times New Roman" w:hAnsi="Opensans" w:cs="Open Sans"/>
          <w:b/>
          <w:sz w:val="22"/>
          <w:szCs w:val="22"/>
          <w:lang w:eastAsia="pl-PL"/>
        </w:rPr>
      </w:pPr>
      <w:r w:rsidRPr="00682DC7">
        <w:rPr>
          <w:rFonts w:ascii="Opensans" w:eastAsia="Times New Roman" w:hAnsi="Opensans" w:cs="Open Sans"/>
          <w:b/>
          <w:sz w:val="22"/>
          <w:szCs w:val="22"/>
          <w:lang w:eastAsia="pl-PL"/>
        </w:rPr>
        <w:t>OPIS PRZEDMIOTU ZAMÓWIENIA</w:t>
      </w:r>
    </w:p>
    <w:p w:rsidR="00682DC7" w:rsidRPr="00682DC7" w:rsidRDefault="00682DC7" w:rsidP="00682DC7">
      <w:pPr>
        <w:spacing w:line="360" w:lineRule="auto"/>
        <w:jc w:val="center"/>
        <w:rPr>
          <w:rFonts w:ascii="Opensans" w:eastAsia="Times New Roman" w:hAnsi="Opensans" w:cs="Open Sans"/>
          <w:b/>
          <w:sz w:val="22"/>
          <w:szCs w:val="22"/>
          <w:lang w:eastAsia="pl-PL"/>
        </w:rPr>
      </w:pPr>
    </w:p>
    <w:p w:rsidR="00682DC7" w:rsidRPr="00440096" w:rsidRDefault="00682DC7" w:rsidP="00682DC7">
      <w:pPr>
        <w:spacing w:line="367" w:lineRule="auto"/>
        <w:jc w:val="center"/>
        <w:rPr>
          <w:rFonts w:ascii="Opensans" w:hAnsi="Opensans" w:cs="Open Sans"/>
          <w:b/>
          <w:bCs/>
          <w:sz w:val="22"/>
          <w:szCs w:val="22"/>
        </w:rPr>
      </w:pPr>
      <w:r w:rsidRPr="00440096">
        <w:rPr>
          <w:rFonts w:ascii="Opensans" w:eastAsia="Times New Roman" w:hAnsi="Opensans" w:cs="Open Sans"/>
          <w:b/>
          <w:sz w:val="22"/>
          <w:szCs w:val="22"/>
        </w:rPr>
        <w:t>„</w:t>
      </w:r>
      <w:r w:rsidRPr="00440096">
        <w:rPr>
          <w:rFonts w:ascii="Opensans" w:hAnsi="Opensans" w:cs="Open Sans"/>
          <w:b/>
          <w:sz w:val="22"/>
          <w:szCs w:val="22"/>
        </w:rPr>
        <w:t xml:space="preserve">Dostawa materiałów eksploatacyjnych do urządzeń biurowych </w:t>
      </w:r>
      <w:bookmarkStart w:id="0" w:name="_GoBack"/>
      <w:bookmarkEnd w:id="0"/>
      <w:r w:rsidRPr="00440096">
        <w:rPr>
          <w:rFonts w:ascii="Opensans" w:hAnsi="Opensans" w:cs="Open Sans"/>
          <w:b/>
          <w:sz w:val="22"/>
          <w:szCs w:val="22"/>
        </w:rPr>
        <w:t>dla Wydziału Nauk Politycznych i Studiów Międzynarodowych UW”</w:t>
      </w:r>
    </w:p>
    <w:p w:rsidR="00682DC7" w:rsidRPr="00440096" w:rsidRDefault="00682DC7" w:rsidP="00682DC7">
      <w:pPr>
        <w:tabs>
          <w:tab w:val="left" w:pos="0"/>
        </w:tabs>
        <w:overflowPunct w:val="0"/>
        <w:autoSpaceDE w:val="0"/>
        <w:autoSpaceDN w:val="0"/>
        <w:adjustRightInd w:val="0"/>
        <w:spacing w:line="367" w:lineRule="auto"/>
        <w:jc w:val="center"/>
        <w:rPr>
          <w:rFonts w:ascii="Opensans" w:eastAsia="Times New Roman" w:hAnsi="Opensans" w:cs="Open Sans"/>
          <w:b/>
          <w:sz w:val="22"/>
          <w:szCs w:val="22"/>
          <w:u w:val="single"/>
          <w:lang w:eastAsia="pl-PL"/>
        </w:rPr>
      </w:pPr>
    </w:p>
    <w:p w:rsidR="00682DC7" w:rsidRPr="00440096" w:rsidRDefault="00682DC7" w:rsidP="003B5732">
      <w:pPr>
        <w:rPr>
          <w:rFonts w:ascii="Opensans" w:hAnsi="Opensans" w:cs="Open Sans"/>
          <w:sz w:val="22"/>
          <w:szCs w:val="22"/>
        </w:rPr>
      </w:pPr>
      <w:r w:rsidRPr="00440096">
        <w:rPr>
          <w:rFonts w:ascii="Opensans" w:hAnsi="Opensans" w:cs="Open Sans"/>
          <w:sz w:val="22"/>
          <w:szCs w:val="22"/>
        </w:rPr>
        <w:t>Kod CPV:  30125100-2 wkłady barwiące,  30192113-6 wkłady drukujące.</w:t>
      </w:r>
    </w:p>
    <w:p w:rsidR="00682DC7" w:rsidRDefault="00682DC7" w:rsidP="00682DC7">
      <w:pPr>
        <w:pStyle w:val="NormalnyWeb"/>
        <w:spacing w:before="0" w:beforeAutospacing="0" w:after="0" w:afterAutospacing="0" w:line="367" w:lineRule="auto"/>
        <w:ind w:firstLine="180"/>
        <w:rPr>
          <w:rFonts w:ascii="Opensans" w:hAnsi="Opensans" w:cs="Open Sans"/>
          <w:sz w:val="22"/>
          <w:szCs w:val="22"/>
        </w:rPr>
      </w:pPr>
    </w:p>
    <w:p w:rsidR="00440096" w:rsidRDefault="00440096" w:rsidP="00440096">
      <w:pPr>
        <w:pStyle w:val="NormalnyWeb"/>
        <w:numPr>
          <w:ilvl w:val="0"/>
          <w:numId w:val="7"/>
        </w:numPr>
        <w:spacing w:before="0" w:beforeAutospacing="0" w:after="0" w:afterAutospacing="0" w:line="367" w:lineRule="auto"/>
        <w:rPr>
          <w:rFonts w:ascii="Opensans" w:hAnsi="Opensans" w:cs="Open Sans"/>
          <w:b/>
          <w:sz w:val="22"/>
          <w:szCs w:val="22"/>
        </w:rPr>
      </w:pPr>
      <w:r w:rsidRPr="00440096">
        <w:rPr>
          <w:rFonts w:ascii="Opensans" w:hAnsi="Opensans" w:cs="Open Sans"/>
          <w:b/>
          <w:sz w:val="22"/>
          <w:szCs w:val="22"/>
        </w:rPr>
        <w:t>INFORMACJE OGÓLNE</w:t>
      </w:r>
    </w:p>
    <w:p w:rsidR="00440096" w:rsidRPr="00440096" w:rsidRDefault="00440096" w:rsidP="00440096">
      <w:pPr>
        <w:pStyle w:val="NormalnyWeb"/>
        <w:spacing w:before="0" w:beforeAutospacing="0" w:after="0" w:afterAutospacing="0" w:line="367" w:lineRule="auto"/>
        <w:ind w:left="900"/>
        <w:rPr>
          <w:rFonts w:ascii="Opensans" w:hAnsi="Opensans" w:cs="Open Sans"/>
          <w:b/>
          <w:sz w:val="22"/>
          <w:szCs w:val="22"/>
        </w:rPr>
      </w:pPr>
    </w:p>
    <w:p w:rsidR="00682DC7" w:rsidRPr="00440096" w:rsidRDefault="00682DC7" w:rsidP="00440096">
      <w:pPr>
        <w:numPr>
          <w:ilvl w:val="0"/>
          <w:numId w:val="1"/>
        </w:numPr>
        <w:tabs>
          <w:tab w:val="clear" w:pos="255"/>
          <w:tab w:val="num" w:pos="426"/>
        </w:tabs>
        <w:spacing w:line="367" w:lineRule="auto"/>
        <w:ind w:left="426" w:hanging="426"/>
        <w:jc w:val="both"/>
        <w:rPr>
          <w:rFonts w:ascii="Opensans" w:hAnsi="Opensans" w:cs="Open Sans"/>
          <w:sz w:val="22"/>
          <w:szCs w:val="22"/>
        </w:rPr>
      </w:pPr>
      <w:r w:rsidRPr="00440096">
        <w:rPr>
          <w:rFonts w:ascii="Opensans" w:hAnsi="Opensans" w:cs="Open Sans"/>
          <w:sz w:val="22"/>
          <w:szCs w:val="22"/>
        </w:rPr>
        <w:t xml:space="preserve">Przedmiotem zamówienia  jest sukcesywna dostawa materiałów eksploatacyjnych do urządzeń biurowych w okresie jednego roku dla Wydziału Nauk Politycznych i Studiów Międzynarodowych UW w ilościach wynikających ze złożonego przez jednostkę zamówienia.  </w:t>
      </w:r>
    </w:p>
    <w:p w:rsidR="00682DC7" w:rsidRDefault="00682DC7" w:rsidP="00440096">
      <w:pPr>
        <w:numPr>
          <w:ilvl w:val="0"/>
          <w:numId w:val="1"/>
        </w:numPr>
        <w:tabs>
          <w:tab w:val="clear" w:pos="255"/>
          <w:tab w:val="num" w:pos="426"/>
        </w:tabs>
        <w:spacing w:line="367" w:lineRule="auto"/>
        <w:ind w:left="426" w:hanging="426"/>
        <w:jc w:val="both"/>
        <w:rPr>
          <w:rFonts w:ascii="Opensans" w:hAnsi="Opensans" w:cs="Open Sans"/>
          <w:sz w:val="22"/>
          <w:szCs w:val="22"/>
        </w:rPr>
      </w:pPr>
      <w:r w:rsidRPr="00440096">
        <w:rPr>
          <w:rFonts w:ascii="Opensans" w:hAnsi="Opensans" w:cs="Open Sans"/>
          <w:sz w:val="22"/>
          <w:szCs w:val="22"/>
        </w:rPr>
        <w:t>Zamawiający w opisie przedmiotu zamówienia wskazuje znaki towarowe zamawianych materiałów co jest uzasadnione specyfiką przedmiotu zamówienia- Zamawiający nie może opisać przedmiotu zamówienia za pomocą dostatecznie dokładnych określeń.</w:t>
      </w:r>
    </w:p>
    <w:p w:rsidR="00682DC7" w:rsidRPr="00CE5C26" w:rsidRDefault="00682DC7" w:rsidP="00CE5C26">
      <w:pPr>
        <w:numPr>
          <w:ilvl w:val="0"/>
          <w:numId w:val="1"/>
        </w:numPr>
        <w:tabs>
          <w:tab w:val="clear" w:pos="255"/>
          <w:tab w:val="num" w:pos="426"/>
        </w:tabs>
        <w:spacing w:line="367" w:lineRule="auto"/>
        <w:ind w:left="426" w:hanging="426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color w:val="000000"/>
          <w:sz w:val="22"/>
          <w:szCs w:val="22"/>
        </w:rPr>
        <w:t xml:space="preserve">Oferowane przez Wykonawcę materiały muszą być oryginalne (zalecane przez producentów urządzeń drukujących) lub równoważne. </w:t>
      </w:r>
    </w:p>
    <w:p w:rsidR="003B5732" w:rsidRPr="00CE5C26" w:rsidRDefault="003B5732" w:rsidP="00CE5C26">
      <w:pPr>
        <w:numPr>
          <w:ilvl w:val="0"/>
          <w:numId w:val="1"/>
        </w:numPr>
        <w:tabs>
          <w:tab w:val="clear" w:pos="255"/>
          <w:tab w:val="num" w:pos="426"/>
        </w:tabs>
        <w:spacing w:line="367" w:lineRule="auto"/>
        <w:ind w:left="426" w:hanging="426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eastAsia="Times New Roman" w:hAnsi="Opensans" w:cs="Open Sans"/>
          <w:sz w:val="22"/>
          <w:szCs w:val="22"/>
          <w:lang w:eastAsia="pl-PL"/>
        </w:rPr>
        <w:t>Materiały oryginalne to takie, które</w:t>
      </w:r>
      <w:r w:rsidRPr="00CE5C26">
        <w:rPr>
          <w:rFonts w:ascii="Opensans" w:eastAsia="Times New Roman" w:hAnsi="Opensans" w:cs="Open Sans"/>
          <w:b/>
          <w:sz w:val="22"/>
          <w:szCs w:val="22"/>
          <w:lang w:eastAsia="pl-PL"/>
        </w:rPr>
        <w:t xml:space="preserve"> </w:t>
      </w:r>
      <w:r w:rsidRPr="00CE5C26">
        <w:rPr>
          <w:rFonts w:ascii="Opensans" w:eastAsia="Times New Roman" w:hAnsi="Opensans" w:cs="Open Sans"/>
          <w:sz w:val="22"/>
          <w:szCs w:val="22"/>
          <w:lang w:eastAsia="pl-PL"/>
        </w:rPr>
        <w:t>zostały</w:t>
      </w:r>
      <w:r w:rsidRPr="00CE5C26">
        <w:rPr>
          <w:rFonts w:ascii="Opensans" w:eastAsia="Times New Roman" w:hAnsi="Opensans" w:cs="Open Sans"/>
          <w:b/>
          <w:sz w:val="22"/>
          <w:szCs w:val="22"/>
          <w:lang w:eastAsia="pl-PL"/>
        </w:rPr>
        <w:t xml:space="preserve"> </w:t>
      </w:r>
      <w:r w:rsidRPr="00CE5C26">
        <w:rPr>
          <w:rFonts w:ascii="Opensans" w:eastAsia="Times New Roman" w:hAnsi="Opensans" w:cs="Open Sans"/>
          <w:sz w:val="22"/>
          <w:szCs w:val="22"/>
          <w:lang w:eastAsia="pl-PL"/>
        </w:rPr>
        <w:t>wyprodukowane przez producenta urządzenia, nie będące naśladownictwem ani przeróbką. Zamawiający nie dopuszcza dostarczania artykułów regenerowanych, ani prefabrykowanych. Za materiały równoważne można uznać materiały fabrycznie nowe, do których produkcji użyto 100% nowych części, których jakość, parametry techniczne, w tym wydajność, jest co najmniej taka sama jak materiałów oryginalnych. Żadna z  części np. kaseta, wałek magnetyczny, głowica drukująca i inne, nie była wykorzystywana w formie pierwotnej w całości lub w części w innym produkcie. Materiały nie mogą mieć śladów poprzedniego używania, uszkodzenia, nie mogą być regenerowane, muszą pochodzić z bieżącej produkcji.</w:t>
      </w:r>
    </w:p>
    <w:p w:rsidR="003B5732" w:rsidRPr="00CE5C26" w:rsidRDefault="003B5732" w:rsidP="00CE5C26">
      <w:pPr>
        <w:numPr>
          <w:ilvl w:val="0"/>
          <w:numId w:val="1"/>
        </w:numPr>
        <w:tabs>
          <w:tab w:val="clear" w:pos="255"/>
          <w:tab w:val="num" w:pos="426"/>
        </w:tabs>
        <w:spacing w:line="367" w:lineRule="auto"/>
        <w:ind w:left="426" w:hanging="426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eastAsia="Times New Roman" w:hAnsi="Opensans" w:cs="Open Sans"/>
          <w:sz w:val="22"/>
          <w:szCs w:val="22"/>
          <w:lang w:eastAsia="pl-PL"/>
        </w:rPr>
        <w:t xml:space="preserve">W przypadku zaoferowania materiałów równoważnych, Wykonawca, </w:t>
      </w:r>
      <w:r w:rsidRPr="00CE5C26">
        <w:rPr>
          <w:rFonts w:ascii="Opensans" w:eastAsia="Times New Roman" w:hAnsi="Opensans" w:cs="Open Sans"/>
          <w:sz w:val="22"/>
          <w:szCs w:val="22"/>
          <w:u w:val="single"/>
          <w:lang w:eastAsia="pl-PL"/>
        </w:rPr>
        <w:t xml:space="preserve">dla </w:t>
      </w:r>
      <w:r w:rsidRPr="00CE5C26">
        <w:rPr>
          <w:rFonts w:ascii="Opensans" w:eastAsia="Times New Roman" w:hAnsi="Opensans" w:cs="Open Sans"/>
          <w:sz w:val="22"/>
          <w:szCs w:val="22"/>
          <w:u w:val="single"/>
          <w:lang w:eastAsia="pl-PL" w:bidi="hi-IN"/>
        </w:rPr>
        <w:t>każd</w:t>
      </w:r>
      <w:r w:rsidRPr="00CE5C26">
        <w:rPr>
          <w:rFonts w:ascii="Opensans" w:eastAsia="Times New Roman" w:hAnsi="Opensans" w:cs="Open Sans"/>
          <w:sz w:val="22"/>
          <w:szCs w:val="22"/>
          <w:u w:val="single"/>
          <w:lang w:eastAsia="pl-PL"/>
        </w:rPr>
        <w:t>ej</w:t>
      </w:r>
      <w:r w:rsidRPr="00CE5C26">
        <w:rPr>
          <w:rFonts w:ascii="Opensans" w:eastAsia="Times New Roman" w:hAnsi="Opensans" w:cs="Open Sans"/>
          <w:sz w:val="22"/>
          <w:szCs w:val="22"/>
          <w:u w:val="single"/>
          <w:lang w:eastAsia="pl-PL" w:bidi="hi-IN"/>
        </w:rPr>
        <w:t xml:space="preserve"> pozycj</w:t>
      </w:r>
      <w:r w:rsidRPr="00CE5C26">
        <w:rPr>
          <w:rFonts w:ascii="Opensans" w:eastAsia="Times New Roman" w:hAnsi="Opensans" w:cs="Open Sans"/>
          <w:sz w:val="22"/>
          <w:szCs w:val="22"/>
          <w:u w:val="single"/>
          <w:lang w:eastAsia="pl-PL"/>
        </w:rPr>
        <w:t>i</w:t>
      </w:r>
      <w:r w:rsidRPr="00CE5C26">
        <w:rPr>
          <w:rFonts w:ascii="Opensans" w:eastAsia="Times New Roman" w:hAnsi="Opensans" w:cs="Open Sans"/>
          <w:sz w:val="22"/>
          <w:szCs w:val="22"/>
          <w:lang w:eastAsia="pl-PL" w:bidi="hi-IN"/>
        </w:rPr>
        <w:t xml:space="preserve"> oferowanych</w:t>
      </w:r>
      <w:r w:rsidRPr="00CE5C26">
        <w:rPr>
          <w:rFonts w:ascii="Opensans" w:eastAsia="Times New Roman" w:hAnsi="Opensans" w:cs="Open Sans"/>
          <w:sz w:val="22"/>
          <w:szCs w:val="22"/>
          <w:lang w:eastAsia="pl-PL"/>
        </w:rPr>
        <w:t xml:space="preserve"> materiałów, jest zobowiązany dołączyć do oferty protokół z badania wydajności według norm: </w:t>
      </w:r>
    </w:p>
    <w:p w:rsidR="003B5732" w:rsidRPr="00440096" w:rsidRDefault="003B5732" w:rsidP="00440096">
      <w:pPr>
        <w:numPr>
          <w:ilvl w:val="0"/>
          <w:numId w:val="5"/>
        </w:numPr>
        <w:spacing w:before="60" w:line="360" w:lineRule="auto"/>
        <w:ind w:left="851"/>
        <w:contextualSpacing/>
        <w:jc w:val="both"/>
        <w:rPr>
          <w:rFonts w:ascii="Opensans" w:eastAsia="Times New Roman" w:hAnsi="Opensans" w:cs="Open Sans"/>
          <w:sz w:val="22"/>
          <w:szCs w:val="22"/>
          <w:lang w:eastAsia="pl-PL"/>
        </w:rPr>
      </w:pPr>
      <w:r w:rsidRPr="00440096">
        <w:rPr>
          <w:rFonts w:ascii="Opensans" w:eastAsia="Times New Roman" w:hAnsi="Opensans" w:cs="Open Sans"/>
          <w:sz w:val="22"/>
          <w:szCs w:val="22"/>
          <w:lang w:eastAsia="pl-PL"/>
        </w:rPr>
        <w:t xml:space="preserve">ISO/IEC 19752 – do określenia wydajności tonerów monochromatycznych do drukarek laserowych, </w:t>
      </w:r>
    </w:p>
    <w:p w:rsidR="003B5732" w:rsidRPr="00440096" w:rsidRDefault="003B5732" w:rsidP="00440096">
      <w:pPr>
        <w:numPr>
          <w:ilvl w:val="0"/>
          <w:numId w:val="5"/>
        </w:numPr>
        <w:spacing w:before="60" w:line="360" w:lineRule="auto"/>
        <w:ind w:left="851"/>
        <w:contextualSpacing/>
        <w:jc w:val="both"/>
        <w:rPr>
          <w:rFonts w:ascii="Opensans" w:eastAsia="Times New Roman" w:hAnsi="Opensans" w:cs="Open Sans"/>
          <w:sz w:val="22"/>
          <w:szCs w:val="22"/>
          <w:lang w:eastAsia="pl-PL"/>
        </w:rPr>
      </w:pPr>
      <w:r w:rsidRPr="00440096">
        <w:rPr>
          <w:rFonts w:ascii="Opensans" w:eastAsia="Times New Roman" w:hAnsi="Opensans" w:cs="Open Sans"/>
          <w:sz w:val="22"/>
          <w:szCs w:val="22"/>
          <w:lang w:eastAsia="pl-PL"/>
        </w:rPr>
        <w:t>ISO/IEC 19798 – do określenia wydajności tonerów kolorowych do drukarek laserowych.</w:t>
      </w:r>
    </w:p>
    <w:p w:rsidR="003B5732" w:rsidRDefault="003B5732" w:rsidP="00440096">
      <w:pPr>
        <w:spacing w:before="60" w:line="360" w:lineRule="auto"/>
        <w:ind w:left="426"/>
        <w:contextualSpacing/>
        <w:jc w:val="both"/>
        <w:rPr>
          <w:rFonts w:ascii="Opensans" w:eastAsia="Times New Roman" w:hAnsi="Opensans" w:cs="Open Sans"/>
          <w:sz w:val="22"/>
          <w:szCs w:val="22"/>
          <w:lang w:eastAsia="pl-PL"/>
        </w:rPr>
      </w:pPr>
      <w:r w:rsidRPr="00440096">
        <w:rPr>
          <w:rFonts w:ascii="Opensans" w:eastAsia="Times New Roman" w:hAnsi="Opensans" w:cs="Open Sans"/>
          <w:sz w:val="22"/>
          <w:szCs w:val="22"/>
          <w:lang w:eastAsia="pl-PL"/>
        </w:rPr>
        <w:t>Protokół z badania musi jednoznacznie wskazywać i potwierdzać wydajność materiału na urządzeniu wymienionym w formularzu cenowym (</w:t>
      </w:r>
      <w:r w:rsidRPr="00440096">
        <w:rPr>
          <w:rFonts w:ascii="Opensans" w:eastAsia="Times New Roman" w:hAnsi="Opensans" w:cs="Open Sans"/>
          <w:b/>
          <w:sz w:val="22"/>
          <w:szCs w:val="22"/>
          <w:lang w:eastAsia="pl-PL"/>
        </w:rPr>
        <w:t>Formularz nr 1</w:t>
      </w:r>
      <w:r w:rsidRPr="00440096">
        <w:rPr>
          <w:rFonts w:ascii="Opensans" w:eastAsia="Times New Roman" w:hAnsi="Opensans" w:cs="Open Sans"/>
          <w:sz w:val="22"/>
          <w:szCs w:val="22"/>
          <w:lang w:eastAsia="pl-PL"/>
        </w:rPr>
        <w:t>), stanowiącym integralną część oferty w niniejszym postępowaniu.</w:t>
      </w:r>
    </w:p>
    <w:p w:rsidR="00CE5C26" w:rsidRPr="00440096" w:rsidRDefault="00CE5C26" w:rsidP="00440096">
      <w:pPr>
        <w:spacing w:before="60" w:line="360" w:lineRule="auto"/>
        <w:ind w:left="426"/>
        <w:contextualSpacing/>
        <w:jc w:val="both"/>
        <w:rPr>
          <w:rFonts w:ascii="Opensans" w:eastAsia="Times New Roman" w:hAnsi="Opensans" w:cs="Open Sans"/>
          <w:sz w:val="22"/>
          <w:szCs w:val="22"/>
          <w:lang w:eastAsia="pl-PL"/>
        </w:rPr>
      </w:pPr>
    </w:p>
    <w:p w:rsidR="003B5732" w:rsidRDefault="003B5732" w:rsidP="00CE5C26">
      <w:pPr>
        <w:pStyle w:val="Akapitzlist"/>
        <w:numPr>
          <w:ilvl w:val="0"/>
          <w:numId w:val="1"/>
        </w:numPr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lastRenderedPageBreak/>
        <w:t xml:space="preserve">W przypadku składania oferty z równoważnymi (nie oryginalnymi) materiałami eksploatacyjnymi, Wykonawca zobowiązany jest przedłożyć na każdą pozycję oferowanych przez siebie materiałów eksploatacyjnych (zamienników), wraz ze składaną ofertą, certyfikat zgodności technicznej z oryginalnymi produktami, wydany przez niezależną od producenta materiału i Wykonawcy jednostkę posiadającą status „notyfikowanej jednostki certyfikującej/kontrolującej” na mocy ustawy z dnia 13 kwietnia 2016 r. o systemach oceny zgodności i nadzoru rynku (Dz. U. 2021 poz. 514 z </w:t>
      </w:r>
      <w:proofErr w:type="spellStart"/>
      <w:r w:rsidRPr="00CE5C26">
        <w:rPr>
          <w:rFonts w:ascii="Opensans" w:hAnsi="Opensans" w:cs="Open Sans"/>
          <w:sz w:val="22"/>
          <w:szCs w:val="22"/>
        </w:rPr>
        <w:t>późn</w:t>
      </w:r>
      <w:proofErr w:type="spellEnd"/>
      <w:r w:rsidRPr="00CE5C26">
        <w:rPr>
          <w:rFonts w:ascii="Opensans" w:hAnsi="Opensans" w:cs="Open Sans"/>
          <w:sz w:val="22"/>
          <w:szCs w:val="22"/>
        </w:rPr>
        <w:t xml:space="preserve">. zm.). Wykonawca może składać również zaświadczenia dotyczące wyżej wymienionych wymagań, wystawione przez podmioty mające siedzibę w innym państwie członkowskim Europejskiego Obszaru Gospodarczego. Udowodnienie równoważności materiałów eksploatacyjnych leży po stronie Wykonawcy. </w:t>
      </w:r>
    </w:p>
    <w:p w:rsidR="003B5732" w:rsidRDefault="003B5732" w:rsidP="00CE5C26">
      <w:pPr>
        <w:pStyle w:val="Akapitzlist"/>
        <w:numPr>
          <w:ilvl w:val="0"/>
          <w:numId w:val="1"/>
        </w:numPr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t>Ponadto, dla każdej pozycji oferowanych przez siebie materiałów równoważnych, Wykonawca dołączy karty charakterystyki bezpieczeństwa materiałów eksploatacyjnych, przygotowane zgodnie z wymaganiami Dyrektywy Unii Europejskiej 91/155/EEC wraz z aktualnie obowiązującymi poprawkami.</w:t>
      </w:r>
    </w:p>
    <w:p w:rsidR="003B5732" w:rsidRDefault="003B5732" w:rsidP="00CE5C26">
      <w:pPr>
        <w:pStyle w:val="Akapitzlist"/>
        <w:numPr>
          <w:ilvl w:val="0"/>
          <w:numId w:val="1"/>
        </w:numPr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t>Dodatkowo, dla każdej pozycji oferowanych przez siebie materiałów równoważnych, Wykonawca dołączy oświadczenia producenta materiału równoważnego, że proces produkcji i stosowanie wyprodukowanych przez niego materiałów eksploatacyjnych nie narusza praw patentowych producentów oryginalnych tonerów.</w:t>
      </w:r>
    </w:p>
    <w:p w:rsidR="003B5732" w:rsidRDefault="003B5732" w:rsidP="00CE5C26">
      <w:pPr>
        <w:pStyle w:val="Akapitzlist"/>
        <w:numPr>
          <w:ilvl w:val="0"/>
          <w:numId w:val="1"/>
        </w:numPr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t>Zastosowanie materiałów równoważnych nie może naruszyć warunków gwarancji urządzeń drukujących. Wykonawca bierze na siebie pełną odpowiedzialność za ewentualne uszkodzenia sprzętu, które powstały w wyniku zastosowania zaoferowanych przez siebie materiałów eksploatacyjnych. W razie awarii urządzenia, powstałej wskutek zastosowania materiału równoważnego, Wykonawca zapewni na własny koszt naprawę urządzenia we wskazanym przez Zamawiającego serwisie lub wymianę urządzenia na nowe w terminie 5 dni roboczych od zgłoszenia awarii Wykonawcy.</w:t>
      </w:r>
    </w:p>
    <w:p w:rsidR="00682DC7" w:rsidRPr="00CE5C26" w:rsidRDefault="003B5732" w:rsidP="00CE5C26">
      <w:pPr>
        <w:pStyle w:val="Akapitzlist"/>
        <w:numPr>
          <w:ilvl w:val="0"/>
          <w:numId w:val="1"/>
        </w:numPr>
        <w:tabs>
          <w:tab w:val="left" w:pos="284"/>
        </w:tabs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t>Dostarczone materiały eksploatacyjne muszą być umieszczone w fabrycznie oznakowanych opakowaniach, umożliwiających identyfikację, z oznaczeniem producenta, wraz z symbolem materiału eksploatacyjnego, wykazem urządzeń, do których dedykowany jest materiał, szczelnie zamknięte.</w:t>
      </w:r>
    </w:p>
    <w:p w:rsidR="003B5732" w:rsidRDefault="003B5732" w:rsidP="00CE5C26">
      <w:pPr>
        <w:pStyle w:val="Akapitzlist"/>
        <w:numPr>
          <w:ilvl w:val="0"/>
          <w:numId w:val="1"/>
        </w:numPr>
        <w:tabs>
          <w:tab w:val="left" w:pos="284"/>
        </w:tabs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t>Materiały eksploatacyjne będą dostarczane zgodnie z każdorazowym zamówieniem, na koszt i ryzyko Wykonawcy do siedziby Zamawiającego przy ul. Krakowskie Przedmieście 26/28, 00-927 Warszawa, do miejsca wskazanego przez Zamawiającego.</w:t>
      </w:r>
    </w:p>
    <w:p w:rsidR="003B5732" w:rsidRDefault="003B5732" w:rsidP="00CE5C26">
      <w:pPr>
        <w:pStyle w:val="Akapitzlist"/>
        <w:numPr>
          <w:ilvl w:val="0"/>
          <w:numId w:val="1"/>
        </w:numPr>
        <w:tabs>
          <w:tab w:val="left" w:pos="284"/>
        </w:tabs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t>Zamawiający dokona sprawdzenia ilościowego i jakościowego każdej partii dostarczonych materiałów eksploatacyjnych. W przypadku dostarczenia materiałów niezgodnie z zamówieniem Zamawiający powiadamia o tym fakcie Wykonawcę telefonicznie lub drogą elektroniczną. Wykonawca zobowiązuje się wymienić materiały na wolne od wad.</w:t>
      </w:r>
    </w:p>
    <w:p w:rsidR="00AA11B3" w:rsidRDefault="00AA11B3" w:rsidP="00CE5C26">
      <w:pPr>
        <w:pStyle w:val="Akapitzlist"/>
        <w:numPr>
          <w:ilvl w:val="0"/>
          <w:numId w:val="1"/>
        </w:numPr>
        <w:tabs>
          <w:tab w:val="left" w:pos="284"/>
        </w:tabs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lastRenderedPageBreak/>
        <w:t>Podane w Formularzu nr 1 (formularz cenowy) ilości materiałów są orientacyjne i w trakcie trwania umowy mogą ulec zmianie. Zamawiający zastrzega sobie prawo do nie wykorzystania całej wartości umowy oraz do zmniejszania lub zwiększania ilości każdej pozycji asortymentowej w trakcie realizacji umowy. Wykonawcy nie przysługuje prawo do żadnych roszczeń z tego powodu.</w:t>
      </w:r>
    </w:p>
    <w:p w:rsidR="003B5732" w:rsidRDefault="003B5732" w:rsidP="00CE5C26">
      <w:pPr>
        <w:pStyle w:val="Akapitzlist"/>
        <w:numPr>
          <w:ilvl w:val="0"/>
          <w:numId w:val="1"/>
        </w:numPr>
        <w:tabs>
          <w:tab w:val="left" w:pos="426"/>
          <w:tab w:val="left" w:pos="1560"/>
        </w:tabs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t>Niniejsze zamówienie nie jest dzielone na części z uwagi na powszechną dostępność przedmiotu zamówienia dla podmiotów działających w profesjonalnym obrocie gospodarczym.</w:t>
      </w:r>
    </w:p>
    <w:p w:rsidR="003B5732" w:rsidRDefault="003B5732" w:rsidP="00CE5C26">
      <w:pPr>
        <w:pStyle w:val="Akapitzlist"/>
        <w:numPr>
          <w:ilvl w:val="0"/>
          <w:numId w:val="1"/>
        </w:numPr>
        <w:tabs>
          <w:tab w:val="left" w:pos="426"/>
        </w:tabs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t xml:space="preserve">Zamawiający nie dopuszcza możliwość składania ofert częściowych. </w:t>
      </w:r>
    </w:p>
    <w:p w:rsidR="003B5732" w:rsidRDefault="003B5732" w:rsidP="00CE5C26">
      <w:pPr>
        <w:pStyle w:val="Akapitzlist"/>
        <w:numPr>
          <w:ilvl w:val="0"/>
          <w:numId w:val="1"/>
        </w:numPr>
        <w:tabs>
          <w:tab w:val="left" w:pos="426"/>
          <w:tab w:val="left" w:pos="1276"/>
        </w:tabs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t>Zamawiający nie dopuszcza możliwości składania ofert wariantowych.</w:t>
      </w:r>
    </w:p>
    <w:p w:rsidR="003B5732" w:rsidRPr="00CE5C26" w:rsidRDefault="003B5732" w:rsidP="00CE5C26">
      <w:pPr>
        <w:pStyle w:val="Akapitzlist"/>
        <w:numPr>
          <w:ilvl w:val="0"/>
          <w:numId w:val="1"/>
        </w:numPr>
        <w:tabs>
          <w:tab w:val="left" w:pos="426"/>
        </w:tabs>
        <w:spacing w:before="60" w:line="360" w:lineRule="auto"/>
        <w:jc w:val="both"/>
        <w:rPr>
          <w:rFonts w:ascii="Opensans" w:hAnsi="Opensans" w:cs="Open Sans"/>
          <w:sz w:val="22"/>
          <w:szCs w:val="22"/>
        </w:rPr>
      </w:pPr>
      <w:r w:rsidRPr="00CE5C26">
        <w:rPr>
          <w:rFonts w:ascii="Opensans" w:hAnsi="Opensans" w:cs="Open Sans"/>
          <w:sz w:val="22"/>
          <w:szCs w:val="22"/>
        </w:rPr>
        <w:t>Wykonawca ponosi odpowiedzialność za jakość wykonywanych prac, dostaw oraz zastosowanych podzespołów i materiałów.</w:t>
      </w:r>
    </w:p>
    <w:p w:rsidR="003B5732" w:rsidRDefault="003B5732" w:rsidP="00440096">
      <w:pPr>
        <w:spacing w:line="367" w:lineRule="auto"/>
        <w:ind w:left="360"/>
        <w:jc w:val="both"/>
        <w:rPr>
          <w:color w:val="000000"/>
          <w:sz w:val="22"/>
          <w:szCs w:val="22"/>
        </w:rPr>
      </w:pPr>
    </w:p>
    <w:p w:rsidR="00440096" w:rsidRPr="00440096" w:rsidRDefault="00440096" w:rsidP="00440096">
      <w:pPr>
        <w:pStyle w:val="Akapitzlist"/>
        <w:numPr>
          <w:ilvl w:val="0"/>
          <w:numId w:val="7"/>
        </w:numPr>
        <w:spacing w:line="367" w:lineRule="auto"/>
        <w:jc w:val="both"/>
        <w:rPr>
          <w:b/>
          <w:color w:val="000000"/>
          <w:sz w:val="22"/>
          <w:szCs w:val="22"/>
        </w:rPr>
      </w:pPr>
      <w:r w:rsidRPr="00440096">
        <w:rPr>
          <w:b/>
          <w:color w:val="000000"/>
          <w:sz w:val="22"/>
          <w:szCs w:val="22"/>
        </w:rPr>
        <w:t>WYKAZ MATERIAŁU EKSPLOATACYJNEGO</w:t>
      </w:r>
    </w:p>
    <w:p w:rsidR="0054629C" w:rsidRDefault="00F851B2" w:rsidP="00440096">
      <w:pPr>
        <w:spacing w:line="367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fldChar w:fldCharType="begin"/>
      </w:r>
      <w:r>
        <w:instrText xml:space="preserve"> LINK </w:instrText>
      </w:r>
      <w:r w:rsidR="007856B9">
        <w:instrText xml:space="preserve">Excel.Sheet.12 "C:\\Users\\309-1\\Desktop\\Archiwum\\Dostawcy 2021\\Tonery\\Wykaz urządzeń do oferty i opz.xlsx" "DO OPZ!W3K2:W180K7" </w:instrText>
      </w:r>
      <w:r>
        <w:instrText xml:space="preserve">\a \f 4 \h </w:instrText>
      </w:r>
      <w:r>
        <w:fldChar w:fldCharType="separate"/>
      </w:r>
    </w:p>
    <w:tbl>
      <w:tblPr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20"/>
        <w:gridCol w:w="1880"/>
        <w:gridCol w:w="960"/>
      </w:tblGrid>
      <w:tr w:rsidR="0054629C" w:rsidRPr="0054629C" w:rsidTr="0054629C">
        <w:trPr>
          <w:divId w:val="114064069"/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Wydajność wg. producenta(ilość str. +/- 5%)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 szt.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652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ind w:firstLineChars="300" w:firstLine="60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A.</w:t>
            </w: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Tonery do kserokopiarek 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Canon iR1022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Kyocera KM 3050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Kyocera KM-2020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Kyocera KM-1620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Mita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KM-3530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TASKalfa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2553ci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70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TASKalfa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2553ci Magenta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TASKalfa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2553ci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TASKalfa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2553ci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TASKalfa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4551ci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20 000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TASKalfa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4551ci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TASKalfa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4551ci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TASKalfa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4551ci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Oki MC873dn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Oki MC873dn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Oki MC873dn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Oki MC873dn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MultiXpress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X3220NR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MultiXpress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X3220NR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MultiXpress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X3220NR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MultiXpress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X3220NR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C405DN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C405DN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C405DN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C405DN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C7025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C7025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C7025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C7025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3550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652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ind w:firstLineChars="300" w:firstLine="60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B.</w:t>
            </w: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Tonery do drukarek 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DCP 9055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cdn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DCP 9055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cdn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DCP 9055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cdn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DCP 9055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cdn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MFC-7420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MFC-7840W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MFC L2720 DW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Canon IR4225i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Canon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Pixma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MG 3650 (kolor)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Canon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Pixma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MG 3650 (czarny)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45.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Canon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Pixma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MP 180 (kolor)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Canon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Pixma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MP 180 (czarny)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CP3525dn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CP3525dn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CP3525dn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CP3525dn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CP5225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CP5225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CP5225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CP5225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MFP M477fdn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MFP M477fdn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MFP M477fdn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MFP M477fdn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M452dn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M452dn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M452dn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M452dn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MFP M479fdn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MFP M479fdn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MFP M479fdn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MFP M479fdn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400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400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400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LJ PRO 400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Ink Advantage 4640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All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In One (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kolor+czarny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Ink Advantage 4640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All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In One (czarny)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Plus Ink Advantage 6075 (czarny)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74.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Plus Ink Advantage 6075 (kolor)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HP LJ M1522n czarny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LJ M2727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nf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HP LJ P1102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HP LJ P2055dn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HP LJ P2055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HP LJ 1020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HP LJ 1022N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HP LJ 1200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HP LJ 1300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HP LJ 1505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HP LJ 1530 MFP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LJ 1536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dnf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MFP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HP LJ 2420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PageWide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Pro MFP 477dw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PageWide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Pro MFP 477dw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PageWide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Pro MFP 477dw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PageWide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Pro MFP 477dw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Ecosys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M5526cdn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Ecosys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M5526cdn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Ecosys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M5526cdn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Ecosys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M5526cdn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Ecosys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P6130cdn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Ecosys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P6130cdn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Ecosys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P6130cdn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Ecosys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P6130cdn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FS C5200DN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Kyocera FS C5200DN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FS C5200DN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Kyocera FS C5200DN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104.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FS C5250DN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Kyocera FS C5250DN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FS C5250DN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Kyocera FS C5250DN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Kyocera FS 1035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Mita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FS-1018MFP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Lexmark E 260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Oki B401d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Oki MB 760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CLP 680 ND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CLP 680 ND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CLP 680 ND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CLP 680 ND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CLP 775 ND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CLP 775 ND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CLP 775 ND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CLP 775 ND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CLX-6220FX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CLX-6220FX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CLX-6220FX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CLX-6220FX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CLX-6260FR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CLX-6260FR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CLX-6260FR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CLX-6260FR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ML-3710ND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ProXpress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M4070FR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ProXpress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SL-M3820nd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SCX-4623FW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Xpress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 2026 W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134.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4521f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3435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652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C. Bębny obrazowe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DCP-9055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cdn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MFC L2720 DW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MFC-7420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139.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MFC-7840W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HL 4150CDN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Canon iR1022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Canon IR 4225i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Oki MC873dn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Oki MC873dn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Oki MC873dn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Oki MC873dn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MultiXpress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X3220NR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C405DN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C7025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Magenta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Black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652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46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D. Inne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DCP-9055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cdn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(pas transmisyjny)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DCP-9055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cdn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(pojemnik na zużyty toner)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TASKalfa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2553ci (pojemnik na zużyty toner)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Oki MC873dn (pas transmisyjny)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Oki MC873dn (utrwalacz)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CLP-680 ND (pojemnik na zużyty toner)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CLX-6260FR (pojemnik na zużyty toner)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54629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MultiXpress</w:t>
            </w:r>
            <w:proofErr w:type="spellEnd"/>
            <w:r w:rsidRPr="0054629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X3220NR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C405DN (pojemnik na zużyty toner)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C405DN (utrwalacz)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C405DN (zestaw do konserwacji)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C7025 (pas transmisyjny)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C7025 (pojemnik na zużyty toner)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167.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C7025 (rolka)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VersaLink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C7025 (utrwalacz)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(pas transmisyjny)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(pojemnik na zużyty toner)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4629C" w:rsidRPr="0054629C" w:rsidTr="0054629C">
        <w:trPr>
          <w:divId w:val="114064069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(rolka)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629C" w:rsidRPr="0054629C" w:rsidTr="0054629C">
        <w:trPr>
          <w:divId w:val="114064069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WorkCentre</w:t>
            </w:r>
            <w:proofErr w:type="spellEnd"/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7225i (utrwalacz)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C" w:rsidRPr="0054629C" w:rsidRDefault="0054629C" w:rsidP="005462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440096" w:rsidRPr="00682DC7" w:rsidRDefault="00F851B2" w:rsidP="00440096">
      <w:pPr>
        <w:spacing w:line="367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end"/>
      </w:r>
    </w:p>
    <w:sectPr w:rsidR="00440096" w:rsidRPr="00682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80F478E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" w15:restartNumberingAfterBreak="0">
    <w:nsid w:val="1BE673E1"/>
    <w:multiLevelType w:val="hybridMultilevel"/>
    <w:tmpl w:val="48984E80"/>
    <w:lvl w:ilvl="0" w:tplc="DF3A327C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</w:rPr>
    </w:lvl>
    <w:lvl w:ilvl="1" w:tplc="23E8E5B4">
      <w:start w:val="1"/>
      <w:numFmt w:val="decimal"/>
      <w:lvlText w:val="%2)"/>
      <w:lvlJc w:val="left"/>
      <w:pPr>
        <w:tabs>
          <w:tab w:val="num" w:pos="1080"/>
        </w:tabs>
        <w:ind w:left="1432" w:hanging="352"/>
      </w:pPr>
      <w:rPr>
        <w:rFonts w:hint="default"/>
        <w:b w:val="0"/>
        <w:i w:val="0"/>
        <w:strike w:val="0"/>
        <w:dstrike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12D0D"/>
    <w:multiLevelType w:val="hybridMultilevel"/>
    <w:tmpl w:val="02969B52"/>
    <w:lvl w:ilvl="0" w:tplc="A730906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677CA2"/>
    <w:multiLevelType w:val="hybridMultilevel"/>
    <w:tmpl w:val="EBB8A59A"/>
    <w:lvl w:ilvl="0" w:tplc="9FBC9B0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555590F"/>
    <w:multiLevelType w:val="hybridMultilevel"/>
    <w:tmpl w:val="A84E6D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8030FAE"/>
    <w:multiLevelType w:val="hybridMultilevel"/>
    <w:tmpl w:val="CC5A1BDA"/>
    <w:lvl w:ilvl="0" w:tplc="983EFDE4">
      <w:start w:val="1"/>
      <w:numFmt w:val="upperLetter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6" w15:restartNumberingAfterBreak="0">
    <w:nsid w:val="73C36054"/>
    <w:multiLevelType w:val="hybridMultilevel"/>
    <w:tmpl w:val="6DD6384A"/>
    <w:lvl w:ilvl="0" w:tplc="9AFE97AE">
      <w:start w:val="1"/>
      <w:numFmt w:val="decimal"/>
      <w:lvlText w:val="%1."/>
      <w:lvlJc w:val="left"/>
      <w:pPr>
        <w:tabs>
          <w:tab w:val="num" w:pos="2232"/>
        </w:tabs>
        <w:ind w:left="2232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C7"/>
    <w:rsid w:val="000748C5"/>
    <w:rsid w:val="003B5732"/>
    <w:rsid w:val="00440096"/>
    <w:rsid w:val="0054629C"/>
    <w:rsid w:val="00682DC7"/>
    <w:rsid w:val="006E4337"/>
    <w:rsid w:val="007856B9"/>
    <w:rsid w:val="0084095C"/>
    <w:rsid w:val="00923769"/>
    <w:rsid w:val="00AA11B3"/>
    <w:rsid w:val="00CB55B1"/>
    <w:rsid w:val="00CE5C26"/>
    <w:rsid w:val="00F8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EDD9"/>
  <w15:chartTrackingRefBased/>
  <w15:docId w15:val="{F3A53255-E91A-4CDC-98DE-975D3FE2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DC7"/>
    <w:pPr>
      <w:spacing w:after="0" w:line="240" w:lineRule="auto"/>
    </w:pPr>
    <w:rPr>
      <w:rFonts w:ascii="Calibri" w:eastAsia="Calibri" w:hAnsi="Calibri" w:cs="Times New Roman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Preambuła,Akapit z listą5,List Paragraph"/>
    <w:basedOn w:val="Normalny"/>
    <w:link w:val="AkapitzlistZnak"/>
    <w:uiPriority w:val="34"/>
    <w:qFormat/>
    <w:rsid w:val="00682DC7"/>
    <w:pPr>
      <w:ind w:left="720"/>
      <w:contextualSpacing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aliases w:val="CW_Lista Znak,L1 Znak,Numerowanie Znak,Preambuła Znak,Akapit z listą5 Znak,List Paragraph Znak"/>
    <w:link w:val="Akapitzlist"/>
    <w:uiPriority w:val="34"/>
    <w:qFormat/>
    <w:rsid w:val="00682DC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682DC7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40096"/>
  </w:style>
  <w:style w:type="paragraph" w:customStyle="1" w:styleId="Default">
    <w:name w:val="Default"/>
    <w:rsid w:val="004400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0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096"/>
    <w:rPr>
      <w:rFonts w:ascii="Tahoma" w:eastAsia="Calibri" w:hAnsi="Tahoma" w:cs="Tahoma"/>
      <w:sz w:val="16"/>
      <w:szCs w:val="16"/>
      <w:lang w:val="pl-PL"/>
    </w:rPr>
  </w:style>
  <w:style w:type="character" w:styleId="Hipercze">
    <w:name w:val="Hyperlink"/>
    <w:uiPriority w:val="99"/>
    <w:semiHidden/>
    <w:unhideWhenUsed/>
    <w:rsid w:val="00440096"/>
    <w:rPr>
      <w:color w:val="0000FF"/>
      <w:u w:val="single"/>
    </w:rPr>
  </w:style>
  <w:style w:type="character" w:styleId="Pogrubienie">
    <w:name w:val="Strong"/>
    <w:uiPriority w:val="22"/>
    <w:qFormat/>
    <w:rsid w:val="0044009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40096"/>
    <w:pPr>
      <w:tabs>
        <w:tab w:val="center" w:pos="4536"/>
        <w:tab w:val="right" w:pos="9072"/>
      </w:tabs>
      <w:spacing w:after="200" w:line="276" w:lineRule="auto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40096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0096"/>
    <w:pPr>
      <w:tabs>
        <w:tab w:val="center" w:pos="4536"/>
        <w:tab w:val="right" w:pos="9072"/>
      </w:tabs>
      <w:spacing w:after="200" w:line="276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40096"/>
    <w:rPr>
      <w:rFonts w:ascii="Calibri" w:eastAsia="Calibri" w:hAnsi="Calibri" w:cs="Times New Roman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F851B2"/>
    <w:rPr>
      <w:color w:val="954F72"/>
      <w:u w:val="single"/>
    </w:rPr>
  </w:style>
  <w:style w:type="paragraph" w:customStyle="1" w:styleId="msonormal0">
    <w:name w:val="msonormal"/>
    <w:basedOn w:val="Normalny"/>
    <w:rsid w:val="00F851B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F851B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F851B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F85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F85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F85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F851B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F851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F851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F85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F85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F851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74">
    <w:name w:val="xl74"/>
    <w:basedOn w:val="Normalny"/>
    <w:rsid w:val="00F85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F851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F851B2"/>
    <w:pPr>
      <w:pBdr>
        <w:bottom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F851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F851B2"/>
    <w:pPr>
      <w:pBdr>
        <w:left w:val="single" w:sz="8" w:space="20" w:color="auto"/>
      </w:pBdr>
      <w:spacing w:before="100" w:beforeAutospacing="1" w:after="100" w:afterAutospacing="1"/>
      <w:ind w:firstLineChars="300" w:firstLine="300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F851B2"/>
    <w:pPr>
      <w:spacing w:before="100" w:beforeAutospacing="1" w:after="100" w:afterAutospacing="1"/>
      <w:ind w:firstLineChars="300" w:firstLine="300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F85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F85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F85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F85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F851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F851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F851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F851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F851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F851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F851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F851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F851B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F851B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F851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F851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F851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F851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F851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F851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00">
    <w:name w:val="xl100"/>
    <w:basedOn w:val="Normalny"/>
    <w:rsid w:val="00F851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F851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F851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1844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WNPiSM UW</dc:creator>
  <cp:keywords/>
  <dc:description/>
  <cp:lastModifiedBy>Szymon Bińkowski</cp:lastModifiedBy>
  <cp:revision>15</cp:revision>
  <cp:lastPrinted>2022-01-28T08:12:00Z</cp:lastPrinted>
  <dcterms:created xsi:type="dcterms:W3CDTF">2022-01-26T15:24:00Z</dcterms:created>
  <dcterms:modified xsi:type="dcterms:W3CDTF">2022-03-09T13:06:00Z</dcterms:modified>
</cp:coreProperties>
</file>