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B9" w:rsidRDefault="003816B9" w:rsidP="003816B9">
      <w:pPr>
        <w:jc w:val="both"/>
      </w:pPr>
      <w:bookmarkStart w:id="0" w:name="_GoBack"/>
      <w:bookmarkEnd w:id="0"/>
      <w:r>
        <w:t xml:space="preserve">Załącznik nr 1 do SWZ </w:t>
      </w:r>
    </w:p>
    <w:p w:rsidR="003816B9" w:rsidRDefault="003816B9" w:rsidP="003816B9">
      <w:pPr>
        <w:jc w:val="both"/>
      </w:pPr>
    </w:p>
    <w:p w:rsidR="003816B9" w:rsidRPr="001D4A7B" w:rsidRDefault="003816B9" w:rsidP="003816B9">
      <w:pPr>
        <w:jc w:val="center"/>
        <w:rPr>
          <w:b/>
        </w:rPr>
      </w:pPr>
      <w:r w:rsidRPr="001D4A7B">
        <w:rPr>
          <w:b/>
        </w:rPr>
        <w:t>SZCZEGÓŁOWY OPIS PRZEDMIOTU ZAMÓWIENIA</w:t>
      </w:r>
    </w:p>
    <w:p w:rsidR="003816B9" w:rsidRDefault="003816B9" w:rsidP="003816B9">
      <w:pPr>
        <w:jc w:val="both"/>
        <w:rPr>
          <w:rFonts w:cstheme="minorHAnsi"/>
        </w:rPr>
      </w:pPr>
    </w:p>
    <w:p w:rsidR="003816B9" w:rsidRPr="001D4A7B" w:rsidRDefault="003816B9" w:rsidP="003816B9">
      <w:pPr>
        <w:pStyle w:val="Akapitzlist"/>
        <w:numPr>
          <w:ilvl w:val="0"/>
          <w:numId w:val="2"/>
        </w:numPr>
        <w:jc w:val="both"/>
        <w:rPr>
          <w:b/>
        </w:rPr>
      </w:pPr>
      <w:r w:rsidRPr="001D4A7B">
        <w:rPr>
          <w:b/>
        </w:rPr>
        <w:t>PRZEDMIOT ZAMÓWIENIA</w:t>
      </w:r>
    </w:p>
    <w:p w:rsidR="003816B9" w:rsidRPr="003816B9" w:rsidRDefault="003816B9" w:rsidP="003816B9">
      <w:pPr>
        <w:pStyle w:val="Akapitzlist"/>
        <w:numPr>
          <w:ilvl w:val="1"/>
          <w:numId w:val="2"/>
        </w:numPr>
        <w:jc w:val="both"/>
      </w:pPr>
      <w:r w:rsidRPr="008101A1">
        <w:t xml:space="preserve">Przedmiotem zamówienia jest </w:t>
      </w:r>
      <w:r>
        <w:rPr>
          <w:rFonts w:cstheme="minorHAnsi"/>
        </w:rPr>
        <w:t>ś</w:t>
      </w:r>
      <w:r w:rsidRPr="00CA1EE9">
        <w:rPr>
          <w:rFonts w:cstheme="minorHAnsi"/>
        </w:rPr>
        <w:t xml:space="preserve">wiadczenie na rzecz Uniwersytetu Warszawskiego usług telekomunikacyjnych telefonii komórkowej </w:t>
      </w:r>
      <w:r w:rsidRPr="00CA1EE9">
        <w:rPr>
          <w:rFonts w:cstheme="minorHAnsi"/>
          <w:color w:val="1B1B1B"/>
        </w:rPr>
        <w:t>oraz usług mobilnego dostępu do Internetu</w:t>
      </w:r>
      <w:r w:rsidR="002334E1">
        <w:rPr>
          <w:rFonts w:cstheme="minorHAnsi"/>
          <w:color w:val="1B1B1B"/>
        </w:rPr>
        <w:t>;</w:t>
      </w:r>
    </w:p>
    <w:p w:rsidR="003816B9" w:rsidRDefault="00ED3B04" w:rsidP="003816B9">
      <w:pPr>
        <w:pStyle w:val="Akapitzlist"/>
        <w:numPr>
          <w:ilvl w:val="2"/>
          <w:numId w:val="2"/>
        </w:numPr>
        <w:jc w:val="both"/>
      </w:pPr>
      <w:r>
        <w:t>świadczenie</w:t>
      </w:r>
      <w:r w:rsidR="003816B9">
        <w:t xml:space="preserve"> usług łączności głosowej, tekstowej SMS i MMS wraz z transmisją danych (przeniesienie numerów oraz aktywacja nowych numerów);</w:t>
      </w:r>
    </w:p>
    <w:p w:rsidR="003816B9" w:rsidRDefault="00ED3B04" w:rsidP="003816B9">
      <w:pPr>
        <w:pStyle w:val="Akapitzlist"/>
        <w:numPr>
          <w:ilvl w:val="2"/>
          <w:numId w:val="2"/>
        </w:numPr>
        <w:jc w:val="both"/>
      </w:pPr>
      <w:r>
        <w:t>świadczenie</w:t>
      </w:r>
      <w:r w:rsidR="003816B9">
        <w:t xml:space="preserve"> usług mobilnego dostępu do sieci Internet</w:t>
      </w:r>
      <w:r w:rsidR="00900D71">
        <w:t xml:space="preserve"> (przeniesienie numerów oraz aktywacja nowych numerów)</w:t>
      </w:r>
      <w:r w:rsidR="003816B9">
        <w:t>;</w:t>
      </w:r>
    </w:p>
    <w:p w:rsidR="003816B9" w:rsidRPr="003816B9" w:rsidRDefault="00ED3B04" w:rsidP="003816B9">
      <w:pPr>
        <w:pStyle w:val="Akapitzlist"/>
        <w:numPr>
          <w:ilvl w:val="2"/>
          <w:numId w:val="2"/>
        </w:numPr>
        <w:jc w:val="both"/>
      </w:pPr>
      <w:r>
        <w:t>dostawa</w:t>
      </w:r>
      <w:r w:rsidR="003816B9">
        <w:t xml:space="preserve"> aktywnych i skonfigurowanych kart SIM (USI</w:t>
      </w:r>
      <w:r w:rsidR="00FA57C3">
        <w:t>M), aktywacja usługi e-SIM</w:t>
      </w:r>
      <w:r w:rsidR="003816B9">
        <w:t>;</w:t>
      </w:r>
    </w:p>
    <w:p w:rsidR="003816B9" w:rsidRDefault="003816B9" w:rsidP="003816B9">
      <w:pPr>
        <w:pStyle w:val="Akapitzlist"/>
        <w:numPr>
          <w:ilvl w:val="1"/>
          <w:numId w:val="2"/>
        </w:numPr>
        <w:jc w:val="both"/>
      </w:pPr>
      <w:r w:rsidRPr="003816B9">
        <w:t xml:space="preserve">Przedmiot zamówienia </w:t>
      </w:r>
      <w:r w:rsidR="00ED3B04">
        <w:t xml:space="preserve">realizowany będzie w oparciu o </w:t>
      </w:r>
      <w:r w:rsidR="00453938">
        <w:t>U</w:t>
      </w:r>
      <w:r w:rsidR="00453938" w:rsidRPr="003816B9">
        <w:t xml:space="preserve">mowę </w:t>
      </w:r>
      <w:r w:rsidRPr="003816B9">
        <w:t>zawartą w wyniku niniejszego postępowania pomiędzy Wykonawcą a Zamawiającym, która zawierać będzie co najmniej dane wskazane w art. 56 ustawy z dnia 16 lipca 2004</w:t>
      </w:r>
      <w:r w:rsidR="00DC1EE2">
        <w:t xml:space="preserve"> </w:t>
      </w:r>
      <w:r w:rsidRPr="003816B9">
        <w:t xml:space="preserve">r. Prawo telekomunikacyjne (Dz. U. z 2004r. nr 171, poz. 1800 z </w:t>
      </w:r>
      <w:proofErr w:type="spellStart"/>
      <w:r w:rsidRPr="003816B9">
        <w:t>późn</w:t>
      </w:r>
      <w:proofErr w:type="spellEnd"/>
      <w:r w:rsidRPr="003816B9">
        <w:t>. zmianami)</w:t>
      </w:r>
      <w:r w:rsidR="009A1D4A">
        <w:t xml:space="preserve"> oraz regulamin świadczenia usług telekomunikacyjnych Wykonawcy</w:t>
      </w:r>
      <w:r w:rsidRPr="003816B9">
        <w:t>.</w:t>
      </w:r>
    </w:p>
    <w:p w:rsidR="003816B9" w:rsidRDefault="00ED3B04" w:rsidP="003816B9">
      <w:pPr>
        <w:pStyle w:val="Akapitzlist"/>
        <w:numPr>
          <w:ilvl w:val="1"/>
          <w:numId w:val="2"/>
        </w:numPr>
        <w:jc w:val="both"/>
      </w:pPr>
      <w:r>
        <w:t xml:space="preserve">Na podstawie </w:t>
      </w:r>
      <w:r w:rsidR="00453938">
        <w:t xml:space="preserve">Umowy </w:t>
      </w:r>
      <w:r w:rsidR="003816B9">
        <w:t xml:space="preserve">zawartej w wyniku postępowania dla każdej aktywacji </w:t>
      </w:r>
      <w:r>
        <w:t xml:space="preserve">(numeru) </w:t>
      </w:r>
      <w:r w:rsidR="003816B9">
        <w:t>zostanie zawarta umowa o świadczenie usług telekomunikacyjnych</w:t>
      </w:r>
      <w:r w:rsidR="00714DAA">
        <w:t xml:space="preserve"> na druku Wykonawcy</w:t>
      </w:r>
      <w:r w:rsidR="003816B9">
        <w:t>, tzw. umowa szczegółowa. Wzór umowy szczegółowej stanowić będzie jeden z załączników do Umowy. Zamawiający dopuszcza podpisanie umowy szczegółowej dla wielu aktywacji</w:t>
      </w:r>
      <w:r>
        <w:t xml:space="preserve"> (numerów)</w:t>
      </w:r>
      <w:r w:rsidR="003816B9">
        <w:t>.</w:t>
      </w:r>
    </w:p>
    <w:p w:rsidR="003816B9" w:rsidRDefault="003816B9" w:rsidP="003816B9">
      <w:pPr>
        <w:pStyle w:val="Akapitzlist"/>
        <w:numPr>
          <w:ilvl w:val="1"/>
          <w:numId w:val="2"/>
        </w:numPr>
        <w:jc w:val="both"/>
      </w:pPr>
      <w:r>
        <w:t>Okres obowiązywania Umowy:</w:t>
      </w:r>
    </w:p>
    <w:p w:rsidR="003816B9" w:rsidRPr="002334E1" w:rsidRDefault="003816B9" w:rsidP="003816B9">
      <w:pPr>
        <w:pStyle w:val="Akapitzlist"/>
        <w:numPr>
          <w:ilvl w:val="2"/>
          <w:numId w:val="2"/>
        </w:numPr>
        <w:jc w:val="both"/>
      </w:pPr>
      <w:r>
        <w:t xml:space="preserve">Zamawiający przewiduje, że w wyniku rozstrzygnięcia niniejszego postępowania </w:t>
      </w:r>
      <w:r w:rsidR="00ED3B04">
        <w:t xml:space="preserve">przetargowego zostanie zawarta </w:t>
      </w:r>
      <w:r w:rsidR="00453938">
        <w:t>Umowa</w:t>
      </w:r>
      <w:r>
        <w:t>, na podstaw</w:t>
      </w:r>
      <w:r w:rsidR="002334E1">
        <w:t>ie której w ramach zamówienia</w:t>
      </w:r>
      <w:r>
        <w:t xml:space="preserve"> </w:t>
      </w:r>
      <w:r w:rsidRPr="002334E1">
        <w:t>Wykonawca rozpocznie świadczenie usług telekomunikacyjnych, tj</w:t>
      </w:r>
      <w:r w:rsidR="00320F28" w:rsidRPr="002334E1">
        <w:t xml:space="preserve">. począwszy od dnia </w:t>
      </w:r>
      <w:r w:rsidR="002334E1" w:rsidRPr="002334E1">
        <w:t>…………………… r</w:t>
      </w:r>
      <w:r w:rsidRPr="002334E1">
        <w:t>.</w:t>
      </w:r>
    </w:p>
    <w:p w:rsidR="002334E1" w:rsidRPr="002334E1" w:rsidRDefault="00ED3B04" w:rsidP="003816B9">
      <w:pPr>
        <w:pStyle w:val="Akapitzlist"/>
        <w:numPr>
          <w:ilvl w:val="2"/>
          <w:numId w:val="2"/>
        </w:numPr>
        <w:jc w:val="both"/>
      </w:pPr>
      <w:r>
        <w:lastRenderedPageBreak/>
        <w:t xml:space="preserve">W okresie obowiązywania </w:t>
      </w:r>
      <w:r w:rsidR="00453938">
        <w:t>U</w:t>
      </w:r>
      <w:r w:rsidR="00453938" w:rsidRPr="002334E1">
        <w:t xml:space="preserve">mowy </w:t>
      </w:r>
      <w:r w:rsidR="002334E1" w:rsidRPr="002334E1">
        <w:t>Zamawiający będzie mógł zgłaszać sukcesywnie według potrzeb przenoszenie numerów będących już w użyciu przez Zamawiające</w:t>
      </w:r>
      <w:r w:rsidR="009E37AA">
        <w:t xml:space="preserve">go, aktywację nowych numerów, </w:t>
      </w:r>
      <w:r w:rsidR="002334E1" w:rsidRPr="002334E1">
        <w:t>dokonywanie cesji oraz rozwiązywanie umów.</w:t>
      </w:r>
    </w:p>
    <w:p w:rsidR="00714DAA" w:rsidRDefault="00320F28" w:rsidP="002334E1">
      <w:pPr>
        <w:pStyle w:val="Akapitzlist"/>
        <w:numPr>
          <w:ilvl w:val="2"/>
          <w:numId w:val="2"/>
        </w:numPr>
        <w:jc w:val="both"/>
      </w:pPr>
      <w:r w:rsidRPr="002334E1">
        <w:t>Zakończenie świadczenia usłu</w:t>
      </w:r>
      <w:r w:rsidR="00ED3B04">
        <w:t xml:space="preserve">g telekomunikacyjnych objętych </w:t>
      </w:r>
      <w:r w:rsidR="00453938">
        <w:t>U</w:t>
      </w:r>
      <w:r w:rsidR="00453938" w:rsidRPr="002334E1">
        <w:t>mową</w:t>
      </w:r>
      <w:r w:rsidR="00453938">
        <w:t xml:space="preserve"> </w:t>
      </w:r>
      <w:r w:rsidRPr="002334E1">
        <w:t xml:space="preserve">nastąpi po upływie </w:t>
      </w:r>
      <w:r w:rsidR="002334E1" w:rsidRPr="002334E1">
        <w:t>36</w:t>
      </w:r>
      <w:r w:rsidRPr="002334E1">
        <w:t xml:space="preserve"> miesięcy od dnia rozp</w:t>
      </w:r>
      <w:r w:rsidR="00ED3B04">
        <w:t>oczęcia świadczenia usług, tj. u</w:t>
      </w:r>
      <w:r w:rsidRPr="002334E1">
        <w:t xml:space="preserve">mowa wygaśnie z dniem </w:t>
      </w:r>
      <w:r w:rsidR="002334E1" w:rsidRPr="002334E1">
        <w:t>…………………… r. lub wcześniej, w przypadku</w:t>
      </w:r>
      <w:r w:rsidRPr="002334E1">
        <w:t xml:space="preserve"> wcześniejszego wyczerpania wartości </w:t>
      </w:r>
      <w:r>
        <w:t xml:space="preserve">maksymalnego wynagrodzenia </w:t>
      </w:r>
      <w:r w:rsidR="00714DAA">
        <w:t>Wykona</w:t>
      </w:r>
      <w:r w:rsidR="00ED3B04">
        <w:t>wcy określonego w u</w:t>
      </w:r>
      <w:r w:rsidR="00714DAA">
        <w:t>mowie.</w:t>
      </w:r>
    </w:p>
    <w:p w:rsidR="00320F28" w:rsidRDefault="00320F28" w:rsidP="00320F28">
      <w:pPr>
        <w:pStyle w:val="Akapitzlist"/>
        <w:numPr>
          <w:ilvl w:val="1"/>
          <w:numId w:val="2"/>
        </w:numPr>
        <w:jc w:val="both"/>
      </w:pPr>
      <w:r>
        <w:t xml:space="preserve">Kod Wspólnego Słownika Zamówień (CPV): 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 xml:space="preserve">64210000-1 - Usługi telefoniczne i </w:t>
      </w:r>
      <w:proofErr w:type="spellStart"/>
      <w:r>
        <w:t>przesyłu</w:t>
      </w:r>
      <w:proofErr w:type="spellEnd"/>
      <w:r>
        <w:t xml:space="preserve"> danych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>64212000-5 - Usługi telefonii komórkowej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>64200000-8 - Usługi telekomunikacyjne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>72400000-4 - Usługi internetowe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>64212100-6 - Usługi przesyłania krótkich komunikatów tekstowych (SMS)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 xml:space="preserve"> 64224000-2 - Usługi telekonferencyjne</w:t>
      </w:r>
    </w:p>
    <w:p w:rsidR="00320F28" w:rsidRDefault="00320F28" w:rsidP="00320F28">
      <w:pPr>
        <w:pStyle w:val="Akapitzlist"/>
        <w:numPr>
          <w:ilvl w:val="2"/>
          <w:numId w:val="2"/>
        </w:numPr>
        <w:jc w:val="both"/>
      </w:pPr>
      <w:r>
        <w:t xml:space="preserve"> 31712112-8 - Karty SIM</w:t>
      </w:r>
    </w:p>
    <w:p w:rsidR="00714DAA" w:rsidRDefault="00714DAA">
      <w:r>
        <w:br w:type="page"/>
      </w:r>
    </w:p>
    <w:p w:rsidR="00900D71" w:rsidRDefault="00900D71" w:rsidP="00900D71">
      <w:pPr>
        <w:jc w:val="both"/>
      </w:pPr>
    </w:p>
    <w:p w:rsidR="00320F28" w:rsidRPr="003F6294" w:rsidRDefault="00FF57CD" w:rsidP="0026401B">
      <w:pPr>
        <w:pStyle w:val="Akapitzlist"/>
        <w:numPr>
          <w:ilvl w:val="0"/>
          <w:numId w:val="2"/>
        </w:numPr>
        <w:jc w:val="both"/>
        <w:rPr>
          <w:b/>
        </w:rPr>
      </w:pPr>
      <w:r w:rsidRPr="003F6294">
        <w:rPr>
          <w:b/>
        </w:rPr>
        <w:t>PRZENIESIENIE NUMERÓW TELEFONICZNYCH DO SIECI KOMÓRKOWEJ WYKONAWCY</w:t>
      </w:r>
      <w:r w:rsidR="0026401B" w:rsidRPr="003F6294">
        <w:rPr>
          <w:b/>
        </w:rPr>
        <w:t>.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  <w:rPr>
          <w:color w:val="FF0000"/>
        </w:rPr>
      </w:pPr>
      <w:r w:rsidRPr="00BD2AFA">
        <w:t>Zamawiający przewiduje sukcesywne przenoszenie aktualnie wykorzystywanych numerów abonenckich do sieci telekomunikacyjnej Wykonawcy wyłonionego w niniejszym postępowaniu przetargowym po zakończeniu dotychczasowej umowy i wygaśnięciu wynikających z niej zob</w:t>
      </w:r>
      <w:r w:rsidR="00043EB9">
        <w:t>owiązań.</w:t>
      </w:r>
      <w:r w:rsidRPr="00BD2AFA">
        <w:rPr>
          <w:color w:val="FF0000"/>
        </w:rPr>
        <w:t xml:space="preserve"> 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</w:pPr>
      <w:r w:rsidRPr="00BD2AFA">
        <w:t xml:space="preserve">Przeniesienie do sieci telekomunikacyjnej Wykonawcy numerów abonenckich przydzielonych i wykorzystywanych przez Zamawiającego nastąpi zgodnie z Rozporządzeniem Ministra Infrastruktury z dnia 16 grudnia 2010 roku w sprawie warunków korzystania z uprawnień </w:t>
      </w:r>
      <w:r w:rsidR="00043EB9">
        <w:br/>
      </w:r>
      <w:r w:rsidRPr="00BD2AFA">
        <w:t>w publicznych sieciach telefonicznych (Dz. U. z 2010 r., Nr 249, poz. 1670) oraz ustawą Prawo Telekomunikacyjne (Dz. U. z</w:t>
      </w:r>
      <w:r w:rsidR="00714DAA">
        <w:t xml:space="preserve"> 2014 r. poz. 243 z </w:t>
      </w:r>
      <w:proofErr w:type="spellStart"/>
      <w:r w:rsidR="00714DAA">
        <w:t>późn</w:t>
      </w:r>
      <w:proofErr w:type="spellEnd"/>
      <w:r w:rsidR="00714DAA">
        <w:t>. zm.).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</w:pPr>
      <w:r w:rsidRPr="00BD2AFA">
        <w:t>Zamawiający udzieli Wykonawcy pełnomocnictwa do przeprowadzenia wszelkich formalności związanych z przeniesieniem numerów abonenckich Zamawiającego do sieci telekomunikacyjnej Wykonawcy.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</w:pPr>
      <w:r w:rsidRPr="00BD2AFA">
        <w:t xml:space="preserve">Wykonawca zobowiązany jest do przeniesienia numerów abonenckich przydzielonych </w:t>
      </w:r>
      <w:r w:rsidR="00043EB9">
        <w:br/>
      </w:r>
      <w:r w:rsidRPr="00BD2AFA">
        <w:t>i wykorzystywanych przez Zamawiającego z zachowaniem dotychczas funkcjonującej numeracji, przy czym dopuszcza użycie numeracji tymczasowej na czas przenoszenia numeru</w:t>
      </w:r>
      <w:r w:rsidR="00BD2AFA">
        <w:t xml:space="preserve"> ale nie dłużej jak jeden cykl rozliczeniowy</w:t>
      </w:r>
      <w:r w:rsidRPr="00BD2AFA">
        <w:t>.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</w:pPr>
      <w:r w:rsidRPr="00BD2AFA">
        <w:t>Zamawiający wymaga, by w przypadku zmiany Operatora nowy Operator (Wykonawca) przejął dotychczasową numerację bez ponoszenia przez Zamawiającego dodatkowych opłat.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  <w:rPr>
          <w:color w:val="FF0000"/>
        </w:rPr>
      </w:pPr>
      <w:r w:rsidRPr="00BD2AFA">
        <w:t>Procedura przeniesienia nie może powodować utraty jakości świadczonych usług.</w:t>
      </w:r>
    </w:p>
    <w:p w:rsidR="0026401B" w:rsidRPr="00BD2AFA" w:rsidRDefault="0026401B" w:rsidP="0026401B">
      <w:pPr>
        <w:pStyle w:val="Akapitzlist"/>
        <w:numPr>
          <w:ilvl w:val="1"/>
          <w:numId w:val="2"/>
        </w:numPr>
        <w:jc w:val="both"/>
        <w:rPr>
          <w:color w:val="FF0000"/>
        </w:rPr>
      </w:pPr>
      <w:r w:rsidRPr="00BD2AFA">
        <w:t>Maksymalny czas przerwy w trakcie przenoszeni</w:t>
      </w:r>
      <w:r w:rsidR="003F6294" w:rsidRPr="00BD2AFA">
        <w:t>a numeru nie może przekroczyć 15</w:t>
      </w:r>
      <w:r w:rsidRPr="00BD2AFA">
        <w:t xml:space="preserve"> minut dla pojedynczej aktywacji</w:t>
      </w:r>
      <w:r w:rsidR="003F6294" w:rsidRPr="00BD2AFA">
        <w:t>.</w:t>
      </w:r>
    </w:p>
    <w:p w:rsidR="003F6294" w:rsidRPr="00BD2AFA" w:rsidRDefault="003F6294" w:rsidP="003F6294">
      <w:pPr>
        <w:pStyle w:val="Akapitzlist"/>
        <w:numPr>
          <w:ilvl w:val="1"/>
          <w:numId w:val="2"/>
        </w:numPr>
        <w:jc w:val="both"/>
        <w:rPr>
          <w:color w:val="FF0000"/>
        </w:rPr>
      </w:pPr>
      <w:r w:rsidRPr="00BD2AFA">
        <w:t xml:space="preserve">Świadczenie usług telekomunikacyjnych </w:t>
      </w:r>
      <w:r w:rsidR="00F8470D" w:rsidRPr="00BD2AFA">
        <w:t xml:space="preserve">dla przenoszonych numerów </w:t>
      </w:r>
      <w:r w:rsidRPr="00BD2AFA">
        <w:t xml:space="preserve">rozpocznie się </w:t>
      </w:r>
      <w:r w:rsidR="00F8470D" w:rsidRPr="00BD2AFA">
        <w:t>najpóźniej miesiąc po zgłoszeniu przez Zamawiającego zlecenia przeniesienia numeru do sieci Wykonawcy.</w:t>
      </w:r>
    </w:p>
    <w:p w:rsidR="003F6294" w:rsidRPr="003F6294" w:rsidRDefault="009C1449" w:rsidP="003F6294">
      <w:pPr>
        <w:pStyle w:val="Akapitzlist"/>
        <w:numPr>
          <w:ilvl w:val="1"/>
          <w:numId w:val="2"/>
        </w:numPr>
        <w:ind w:left="851" w:hanging="491"/>
        <w:jc w:val="both"/>
        <w:rPr>
          <w:color w:val="FF0000"/>
        </w:rPr>
      </w:pPr>
      <w:r>
        <w:lastRenderedPageBreak/>
        <w:t>Ilość aktywnych numerów</w:t>
      </w:r>
      <w:r w:rsidR="003F6294">
        <w:t xml:space="preserve">: </w:t>
      </w:r>
      <w:r w:rsidR="003F6294" w:rsidRPr="00ED3B04">
        <w:t xml:space="preserve">wg stanu na </w:t>
      </w:r>
      <w:r>
        <w:t>dzień 20</w:t>
      </w:r>
      <w:r w:rsidR="00ED3B04" w:rsidRPr="00ED3B04">
        <w:t>.11</w:t>
      </w:r>
      <w:r w:rsidR="003F6294" w:rsidRPr="00ED3B04">
        <w:t xml:space="preserve">.2022 r. </w:t>
      </w:r>
      <w:r w:rsidR="003F6294">
        <w:t>Zamawiający posiada:</w:t>
      </w:r>
    </w:p>
    <w:p w:rsidR="003F6294" w:rsidRDefault="003F6294" w:rsidP="003F6294">
      <w:pPr>
        <w:jc w:val="both"/>
      </w:pPr>
      <w:r>
        <w:t xml:space="preserve">Tabela Nr 1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129"/>
        <w:gridCol w:w="3401"/>
        <w:gridCol w:w="2266"/>
      </w:tblGrid>
      <w:tr w:rsidR="001D4A7B" w:rsidTr="001D4A7B">
        <w:tc>
          <w:tcPr>
            <w:tcW w:w="1129" w:type="dxa"/>
          </w:tcPr>
          <w:p w:rsidR="001D4A7B" w:rsidRDefault="009C1449" w:rsidP="003F6294">
            <w:pPr>
              <w:jc w:val="both"/>
            </w:pPr>
            <w:r>
              <w:t>lp</w:t>
            </w:r>
            <w:r w:rsidR="001D4A7B">
              <w:t>.</w:t>
            </w:r>
          </w:p>
        </w:tc>
        <w:tc>
          <w:tcPr>
            <w:tcW w:w="3401" w:type="dxa"/>
          </w:tcPr>
          <w:p w:rsidR="001D4A7B" w:rsidRDefault="009C1449" w:rsidP="003F6294">
            <w:pPr>
              <w:jc w:val="both"/>
            </w:pPr>
            <w:r>
              <w:t>Typ usługi:</w:t>
            </w:r>
          </w:p>
        </w:tc>
        <w:tc>
          <w:tcPr>
            <w:tcW w:w="2266" w:type="dxa"/>
          </w:tcPr>
          <w:p w:rsidR="001D4A7B" w:rsidRDefault="009C1449" w:rsidP="003F6294">
            <w:pPr>
              <w:jc w:val="both"/>
            </w:pPr>
            <w:r>
              <w:t>Ilość szt</w:t>
            </w:r>
            <w:r w:rsidR="001D4A7B">
              <w:t>.</w:t>
            </w:r>
            <w:r>
              <w:t>:</w:t>
            </w:r>
          </w:p>
        </w:tc>
      </w:tr>
      <w:tr w:rsidR="001D4A7B" w:rsidTr="001D4A7B">
        <w:tc>
          <w:tcPr>
            <w:tcW w:w="1129" w:type="dxa"/>
          </w:tcPr>
          <w:p w:rsidR="001D4A7B" w:rsidRDefault="001D4A7B" w:rsidP="003F6294">
            <w:pPr>
              <w:jc w:val="both"/>
            </w:pPr>
            <w:r>
              <w:t>1.</w:t>
            </w:r>
          </w:p>
        </w:tc>
        <w:tc>
          <w:tcPr>
            <w:tcW w:w="3401" w:type="dxa"/>
          </w:tcPr>
          <w:p w:rsidR="001D4A7B" w:rsidRDefault="009C1449" w:rsidP="003F6294">
            <w:pPr>
              <w:jc w:val="both"/>
            </w:pPr>
            <w:r>
              <w:t xml:space="preserve">głosowa z Internetem  </w:t>
            </w:r>
          </w:p>
        </w:tc>
        <w:tc>
          <w:tcPr>
            <w:tcW w:w="2266" w:type="dxa"/>
          </w:tcPr>
          <w:p w:rsidR="001D4A7B" w:rsidRDefault="009C1449" w:rsidP="003F6294">
            <w:pPr>
              <w:jc w:val="both"/>
            </w:pPr>
            <w:r>
              <w:t>400</w:t>
            </w:r>
          </w:p>
        </w:tc>
      </w:tr>
      <w:tr w:rsidR="001D4A7B" w:rsidTr="001D4A7B">
        <w:tc>
          <w:tcPr>
            <w:tcW w:w="1129" w:type="dxa"/>
          </w:tcPr>
          <w:p w:rsidR="001D4A7B" w:rsidRDefault="001D4A7B" w:rsidP="003F6294">
            <w:pPr>
              <w:jc w:val="both"/>
            </w:pPr>
            <w:r>
              <w:t>2.</w:t>
            </w:r>
          </w:p>
        </w:tc>
        <w:tc>
          <w:tcPr>
            <w:tcW w:w="3401" w:type="dxa"/>
          </w:tcPr>
          <w:p w:rsidR="001D4A7B" w:rsidRDefault="009C1449" w:rsidP="003F6294">
            <w:pPr>
              <w:jc w:val="both"/>
            </w:pPr>
            <w:r>
              <w:t>mobilny Internet</w:t>
            </w:r>
          </w:p>
        </w:tc>
        <w:tc>
          <w:tcPr>
            <w:tcW w:w="2266" w:type="dxa"/>
          </w:tcPr>
          <w:p w:rsidR="001D4A7B" w:rsidRDefault="009C1449" w:rsidP="003F6294">
            <w:pPr>
              <w:jc w:val="both"/>
            </w:pPr>
            <w:r>
              <w:t>100</w:t>
            </w:r>
          </w:p>
        </w:tc>
      </w:tr>
    </w:tbl>
    <w:p w:rsidR="00320F28" w:rsidRDefault="00320F28" w:rsidP="003F6294">
      <w:pPr>
        <w:jc w:val="both"/>
      </w:pPr>
    </w:p>
    <w:p w:rsidR="003F6294" w:rsidRPr="001D4A7B" w:rsidRDefault="00FF57CD" w:rsidP="003F6294">
      <w:pPr>
        <w:pStyle w:val="Akapitzlist"/>
        <w:numPr>
          <w:ilvl w:val="0"/>
          <w:numId w:val="2"/>
        </w:numPr>
        <w:jc w:val="both"/>
        <w:rPr>
          <w:b/>
        </w:rPr>
      </w:pPr>
      <w:r w:rsidRPr="001D4A7B">
        <w:rPr>
          <w:b/>
        </w:rPr>
        <w:t>AKTYWACJA NOWYCH USŁUG</w:t>
      </w:r>
    </w:p>
    <w:p w:rsidR="00F8470D" w:rsidRDefault="00F8470D" w:rsidP="00F8470D">
      <w:pPr>
        <w:pStyle w:val="Akapitzlist"/>
        <w:numPr>
          <w:ilvl w:val="1"/>
          <w:numId w:val="2"/>
        </w:numPr>
        <w:jc w:val="both"/>
      </w:pPr>
      <w:r w:rsidRPr="00BD2AFA">
        <w:t xml:space="preserve">Zamawiający w ramach zawartej </w:t>
      </w:r>
      <w:r w:rsidR="00205E26" w:rsidRPr="00BD2AFA">
        <w:t xml:space="preserve">Umowy </w:t>
      </w:r>
      <w:r w:rsidRPr="00BD2AFA">
        <w:t>ma możliwość zamówienia nowej aktywacji z nowym numerem.</w:t>
      </w:r>
    </w:p>
    <w:p w:rsidR="00205E26" w:rsidRPr="00BD2AFA" w:rsidRDefault="00205E26" w:rsidP="00F8470D">
      <w:pPr>
        <w:pStyle w:val="Akapitzlist"/>
        <w:numPr>
          <w:ilvl w:val="1"/>
          <w:numId w:val="2"/>
        </w:numPr>
        <w:jc w:val="both"/>
      </w:pPr>
      <w:r>
        <w:t>Do każdego nowego numeru będzie zawarta umowa szczegółowa</w:t>
      </w:r>
      <w:r w:rsidR="00AA7C94">
        <w:t>.</w:t>
      </w:r>
      <w:r>
        <w:t xml:space="preserve"> z terminem obowiązywania określonym w Umowie zawartej w wyniku rozstrzygnięcia niniejszego postępowania.</w:t>
      </w:r>
    </w:p>
    <w:p w:rsidR="00F8470D" w:rsidRPr="00BD2AFA" w:rsidRDefault="00F8470D" w:rsidP="00F8470D">
      <w:pPr>
        <w:pStyle w:val="Akapitzlist"/>
        <w:numPr>
          <w:ilvl w:val="1"/>
          <w:numId w:val="2"/>
        </w:numPr>
        <w:jc w:val="both"/>
      </w:pPr>
      <w:r w:rsidRPr="00BD2AFA">
        <w:t xml:space="preserve">Aktywacja nowego numeru zostanie zrealizowana najpóźniej na </w:t>
      </w:r>
      <w:r w:rsidR="00DD6A6A">
        <w:t>5</w:t>
      </w:r>
      <w:r w:rsidRPr="00BD2AFA">
        <w:t xml:space="preserve"> dni od zgłoszenia przez Zamawiającego zlecenia aktywacji nowego numeru.</w:t>
      </w:r>
    </w:p>
    <w:p w:rsidR="00F8470D" w:rsidRPr="00BD2AFA" w:rsidRDefault="00F8470D" w:rsidP="00F8470D">
      <w:pPr>
        <w:pStyle w:val="Akapitzlist"/>
        <w:numPr>
          <w:ilvl w:val="1"/>
          <w:numId w:val="2"/>
        </w:numPr>
        <w:jc w:val="both"/>
      </w:pPr>
      <w:r w:rsidRPr="00BD2AFA">
        <w:t>Aktywacja nowego numeru będzie realizowana w ramach wybranego pakietu.</w:t>
      </w:r>
    </w:p>
    <w:p w:rsidR="001F0042" w:rsidRDefault="001F0042" w:rsidP="001F0042">
      <w:pPr>
        <w:pStyle w:val="Akapitzlist"/>
        <w:numPr>
          <w:ilvl w:val="1"/>
          <w:numId w:val="2"/>
        </w:numPr>
        <w:jc w:val="both"/>
      </w:pPr>
      <w:r>
        <w:t xml:space="preserve">Zamawiający wymaga, aby udostępniane mu nowe numery abonenckie celem wymiany numeru lub w przypadku </w:t>
      </w:r>
      <w:r w:rsidR="00162432">
        <w:t>uruchomienia nowych aktywacji</w:t>
      </w:r>
      <w:r>
        <w:t xml:space="preserve"> były numerami nie znajdującymi się w użyciu od co najmniej 12 miesięcy (dotyczy aktywacji głosowych).</w:t>
      </w:r>
    </w:p>
    <w:p w:rsidR="009C1449" w:rsidRDefault="009C1449" w:rsidP="009C1449">
      <w:pPr>
        <w:jc w:val="both"/>
      </w:pPr>
    </w:p>
    <w:p w:rsidR="001D4A7B" w:rsidRDefault="001D4A7B" w:rsidP="001D4A7B">
      <w:pPr>
        <w:pStyle w:val="Akapitzlist"/>
        <w:jc w:val="both"/>
      </w:pPr>
    </w:p>
    <w:p w:rsidR="00484471" w:rsidRPr="00484471" w:rsidRDefault="001D4A7B" w:rsidP="0048447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CESJA</w:t>
      </w:r>
      <w:r w:rsidR="008D6A0E" w:rsidRPr="001D4A7B">
        <w:rPr>
          <w:b/>
        </w:rPr>
        <w:t xml:space="preserve"> NUMERU</w:t>
      </w:r>
    </w:p>
    <w:p w:rsidR="00484471" w:rsidRDefault="00484471" w:rsidP="00484471">
      <w:pPr>
        <w:pStyle w:val="Akapitzlist"/>
        <w:numPr>
          <w:ilvl w:val="1"/>
          <w:numId w:val="2"/>
        </w:numPr>
        <w:jc w:val="both"/>
      </w:pPr>
      <w:r>
        <w:t>W przypadku wydania dyspozycji przez Zamawiającego Wykonawca zapewni nieo</w:t>
      </w:r>
      <w:r w:rsidR="00162432">
        <w:t xml:space="preserve">dpłatną realizację cesji praw </w:t>
      </w:r>
      <w:r>
        <w:t xml:space="preserve">numeru abonenckiego na osobą fizyczną, prawną lub jednostkę organizacyjną nieposiadającą osobowości prawnej, w odniesieniu do aktywacji należących do Zamawiającego, działających na podstawie Umowy zawartej w wyniku rozstrzygnięcia niniejszego postępowania. Warunki handlowe, jakie zostaną zaproponowane przez Wykonawcę nowemu abonentowi będą zgodne z planami taryfowymi dostępnymi w danym momencie w ogólnej ofercie Wykonawcy skierowanej dla klientów indywidualnych lub biznesowych. </w:t>
      </w:r>
    </w:p>
    <w:p w:rsidR="001F0042" w:rsidRDefault="008D6A0E" w:rsidP="00484471">
      <w:pPr>
        <w:pStyle w:val="Akapitzlist"/>
        <w:numPr>
          <w:ilvl w:val="1"/>
          <w:numId w:val="2"/>
        </w:numPr>
        <w:jc w:val="both"/>
      </w:pPr>
      <w:r>
        <w:lastRenderedPageBreak/>
        <w:t>Cesja numeru na rzecz nowego użytkownika zostanie zrealizowana w terminie do 21 dni od zgłoszenia.</w:t>
      </w:r>
    </w:p>
    <w:p w:rsidR="008D6A0E" w:rsidRDefault="008D6A0E" w:rsidP="008D6A0E">
      <w:pPr>
        <w:pStyle w:val="Akapitzlist"/>
        <w:jc w:val="both"/>
      </w:pPr>
    </w:p>
    <w:p w:rsidR="008D6A0E" w:rsidRPr="001D4A7B" w:rsidRDefault="00DD6A6A" w:rsidP="008D6A0E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UMOWA</w:t>
      </w:r>
      <w:r w:rsidR="008D6A0E" w:rsidRPr="001D4A7B">
        <w:rPr>
          <w:b/>
        </w:rPr>
        <w:t xml:space="preserve"> </w:t>
      </w:r>
      <w:r w:rsidR="001C7232">
        <w:rPr>
          <w:b/>
        </w:rPr>
        <w:t>SZCZEGÓŁO</w:t>
      </w:r>
      <w:r>
        <w:rPr>
          <w:b/>
        </w:rPr>
        <w:t>WA</w:t>
      </w:r>
      <w:r w:rsidR="001C7232">
        <w:rPr>
          <w:b/>
        </w:rPr>
        <w:t xml:space="preserve"> </w:t>
      </w:r>
    </w:p>
    <w:p w:rsidR="00DD6A6A" w:rsidRDefault="00DD6A6A" w:rsidP="008D6A0E">
      <w:pPr>
        <w:pStyle w:val="Akapitzlist"/>
        <w:numPr>
          <w:ilvl w:val="1"/>
          <w:numId w:val="2"/>
        </w:numPr>
        <w:jc w:val="both"/>
      </w:pPr>
      <w:r>
        <w:t>Wykonawca w ramach Umowy zawartej w wyniku niniejszego postępowania jest zobowiązany do przygotowania umowy szczegółowej stanowiącej załącznik do Umowy.</w:t>
      </w:r>
    </w:p>
    <w:p w:rsidR="00AA7C94" w:rsidRDefault="00AA7C94" w:rsidP="008D6A0E">
      <w:pPr>
        <w:pStyle w:val="Akapitzlist"/>
        <w:numPr>
          <w:ilvl w:val="1"/>
          <w:numId w:val="2"/>
        </w:numPr>
        <w:jc w:val="both"/>
      </w:pPr>
      <w:r>
        <w:t>Każda umowa szczegółowa wygasa wraz z terminem obowiązywania Umowy zawartej w wyniku rozstrzygnięcia niniejszego postępowania.</w:t>
      </w:r>
    </w:p>
    <w:p w:rsidR="00DD6A6A" w:rsidRDefault="00DD6A6A" w:rsidP="008D6A0E">
      <w:pPr>
        <w:pStyle w:val="Akapitzlist"/>
        <w:numPr>
          <w:ilvl w:val="1"/>
          <w:numId w:val="2"/>
        </w:numPr>
        <w:jc w:val="both"/>
      </w:pPr>
      <w:r>
        <w:t xml:space="preserve">Umowa szczegółowa powinna zawierać ogólne warunki świadczenia usług telekomunikacyjnych w oparciu o wybrany pakiet opisany w OPZ przypisany do konkretnego numeru abonenckiego wraz z informacją o nadanym nr seryjnym SIM lub </w:t>
      </w:r>
      <w:r w:rsidR="001C7232">
        <w:t>identyfikatora</w:t>
      </w:r>
      <w:r>
        <w:t xml:space="preserve"> w przypadku aktywacji </w:t>
      </w:r>
      <w:proofErr w:type="spellStart"/>
      <w:r>
        <w:t>eSIM</w:t>
      </w:r>
      <w:proofErr w:type="spellEnd"/>
      <w:r>
        <w:t xml:space="preserve">. </w:t>
      </w:r>
    </w:p>
    <w:p w:rsidR="00DD6A6A" w:rsidRDefault="00DD6A6A" w:rsidP="008D6A0E">
      <w:pPr>
        <w:pStyle w:val="Akapitzlist"/>
        <w:numPr>
          <w:ilvl w:val="1"/>
          <w:numId w:val="2"/>
        </w:numPr>
        <w:jc w:val="both"/>
      </w:pPr>
      <w:r>
        <w:t xml:space="preserve">Umowa szczegółowa </w:t>
      </w:r>
      <w:r w:rsidR="001C7232">
        <w:t>musi zawierać regulamin świadczenia usług telekomunikacyjnych Wykonawcy.</w:t>
      </w:r>
    </w:p>
    <w:p w:rsidR="008D6A0E" w:rsidRDefault="008D6A0E" w:rsidP="008D6A0E">
      <w:pPr>
        <w:pStyle w:val="Akapitzlist"/>
        <w:numPr>
          <w:ilvl w:val="1"/>
          <w:numId w:val="2"/>
        </w:numPr>
        <w:jc w:val="both"/>
      </w:pPr>
      <w:r>
        <w:t>Zamawiający w ramach zawartej Umowy ma możliwość zgłoszeni</w:t>
      </w:r>
      <w:r w:rsidR="00AA7C94">
        <w:t>a</w:t>
      </w:r>
      <w:r>
        <w:t xml:space="preserve"> rezygnacji z usług telekomunikacyjnych.</w:t>
      </w:r>
    </w:p>
    <w:p w:rsidR="00784F27" w:rsidRDefault="008D6A0E" w:rsidP="00784F27">
      <w:pPr>
        <w:pStyle w:val="Akapitzlist"/>
        <w:numPr>
          <w:ilvl w:val="1"/>
          <w:numId w:val="2"/>
        </w:numPr>
        <w:jc w:val="both"/>
      </w:pPr>
      <w:r>
        <w:t>Rozwiązanie umowy szczegółowej</w:t>
      </w:r>
      <w:r w:rsidR="001C7232">
        <w:t xml:space="preserve"> nastąpi z miesięcznym terminem od zgłoszenia.</w:t>
      </w:r>
    </w:p>
    <w:p w:rsidR="00653262" w:rsidRDefault="00653262" w:rsidP="00653262">
      <w:pPr>
        <w:pStyle w:val="Akapitzlist"/>
        <w:numPr>
          <w:ilvl w:val="1"/>
          <w:numId w:val="2"/>
        </w:numPr>
        <w:jc w:val="both"/>
      </w:pPr>
      <w:r>
        <w:t>W przypadku rezygnacji z numeru bądź jego wymiany Wykonawca nie udostępni numeru osobie trzeciej w terminie minimum 6 miesięcy.</w:t>
      </w:r>
    </w:p>
    <w:p w:rsidR="001D4A7B" w:rsidRPr="001D4A7B" w:rsidRDefault="001D4A7B" w:rsidP="001D4A7B">
      <w:pPr>
        <w:pStyle w:val="Akapitzlist"/>
        <w:jc w:val="both"/>
      </w:pPr>
    </w:p>
    <w:p w:rsidR="00C6647A" w:rsidRPr="001D4A7B" w:rsidRDefault="00C6647A" w:rsidP="00C6647A">
      <w:pPr>
        <w:pStyle w:val="Akapitzlist"/>
        <w:numPr>
          <w:ilvl w:val="0"/>
          <w:numId w:val="2"/>
        </w:numPr>
        <w:jc w:val="both"/>
        <w:rPr>
          <w:b/>
        </w:rPr>
      </w:pPr>
      <w:r w:rsidRPr="001D4A7B">
        <w:rPr>
          <w:b/>
        </w:rPr>
        <w:t>WYMAGANIA TECHNICZNE W ZAKRESIE ŚWIADCZONYCH USŁUG TELEKOMUNIKACYJNYCH</w:t>
      </w:r>
    </w:p>
    <w:p w:rsidR="00C6647A" w:rsidRDefault="00C6647A" w:rsidP="00C6647A">
      <w:pPr>
        <w:pStyle w:val="Akapitzlist"/>
        <w:numPr>
          <w:ilvl w:val="1"/>
          <w:numId w:val="2"/>
        </w:numPr>
        <w:jc w:val="both"/>
      </w:pPr>
      <w:r>
        <w:t>Wykonawca zapewni pełną dostępność sieci telefonii komórkowej według aktualnie publikowanych map zasięgu Wykonawcy (wymagane minimum 95% terytorium Polski), na poziomie umożliwiającym realizację transmisj</w:t>
      </w:r>
      <w:r w:rsidR="000F2677">
        <w:t>i głosu i danych</w:t>
      </w:r>
      <w:r>
        <w:t>, 24 godziny na dobę przez wszystkie dni w roku na terenie całego kraju i za granicą.</w:t>
      </w:r>
    </w:p>
    <w:p w:rsidR="00C6647A" w:rsidRDefault="00C6647A" w:rsidP="00C6647A">
      <w:pPr>
        <w:pStyle w:val="Akapitzlist"/>
        <w:numPr>
          <w:ilvl w:val="1"/>
          <w:numId w:val="2"/>
        </w:numPr>
        <w:jc w:val="both"/>
      </w:pPr>
      <w:r>
        <w:t>Wykonawca zapewni świadczenie usług transmisji danych w sieci GSM: GPRS, EDGE; UMTS: 3G,</w:t>
      </w:r>
      <w:r w:rsidR="00363CE5">
        <w:t xml:space="preserve"> </w:t>
      </w:r>
      <w:r>
        <w:t>HSPA, HSPA+; LTE</w:t>
      </w:r>
      <w:r w:rsidR="00363AA2">
        <w:t>, 5G</w:t>
      </w:r>
      <w:r w:rsidR="00AA7C94">
        <w:t xml:space="preserve"> oraz nowych standardach wdrażanych przez Wykonawcę.</w:t>
      </w:r>
    </w:p>
    <w:p w:rsidR="00363CE5" w:rsidRDefault="00363CE5" w:rsidP="00363CE5">
      <w:pPr>
        <w:pStyle w:val="Akapitzlist"/>
        <w:numPr>
          <w:ilvl w:val="1"/>
          <w:numId w:val="2"/>
        </w:numPr>
        <w:jc w:val="both"/>
      </w:pPr>
      <w:r>
        <w:t xml:space="preserve">Dostęp do sieci telefonii komórkowej ma zapewnić stałą: </w:t>
      </w:r>
    </w:p>
    <w:p w:rsidR="00363CE5" w:rsidRDefault="00363CE5" w:rsidP="00363CE5">
      <w:pPr>
        <w:pStyle w:val="Akapitzlist"/>
        <w:numPr>
          <w:ilvl w:val="2"/>
          <w:numId w:val="2"/>
        </w:numPr>
        <w:jc w:val="both"/>
      </w:pPr>
      <w:r>
        <w:t>łączność głosową (połączenia wychodzące i przychodzące),</w:t>
      </w:r>
    </w:p>
    <w:p w:rsidR="00363CE5" w:rsidRDefault="00363CE5" w:rsidP="00363CE5">
      <w:pPr>
        <w:pStyle w:val="Akapitzlist"/>
        <w:numPr>
          <w:ilvl w:val="2"/>
          <w:numId w:val="2"/>
        </w:numPr>
        <w:jc w:val="both"/>
      </w:pPr>
      <w:r>
        <w:lastRenderedPageBreak/>
        <w:t>łączność tekstową (SMS, MMS),</w:t>
      </w:r>
    </w:p>
    <w:p w:rsidR="00363CE5" w:rsidRDefault="00363CE5" w:rsidP="00363CE5">
      <w:pPr>
        <w:pStyle w:val="Akapitzlist"/>
        <w:numPr>
          <w:ilvl w:val="2"/>
          <w:numId w:val="2"/>
        </w:numPr>
        <w:jc w:val="both"/>
      </w:pPr>
      <w:r>
        <w:t>transmisję danych, w tym dostęp do zasobów sieci Internet.</w:t>
      </w:r>
    </w:p>
    <w:p w:rsidR="00363CE5" w:rsidRDefault="00363CE5" w:rsidP="00363CE5">
      <w:pPr>
        <w:pStyle w:val="Akapitzlist"/>
        <w:numPr>
          <w:ilvl w:val="1"/>
          <w:numId w:val="2"/>
        </w:numPr>
        <w:jc w:val="both"/>
      </w:pPr>
      <w:r>
        <w:t xml:space="preserve">Wykonawca zapewni możliwość wykonywania połączeń na wszystkie numery krajowe </w:t>
      </w:r>
      <w:r w:rsidR="001D4A7B">
        <w:br/>
      </w:r>
      <w:r>
        <w:t>i zagraniczne z numerów abonenckich Zamawiającego objętych Umową.</w:t>
      </w:r>
    </w:p>
    <w:p w:rsidR="00363CE5" w:rsidRDefault="00363CE5" w:rsidP="00363CE5">
      <w:pPr>
        <w:pStyle w:val="Akapitzlist"/>
        <w:numPr>
          <w:ilvl w:val="1"/>
          <w:numId w:val="2"/>
        </w:numPr>
        <w:jc w:val="both"/>
      </w:pPr>
      <w:r>
        <w:t>Wykonawca zapewni możliwość przyjmowania połączeń z wszystkich numerów telefonicznych krajowych i zagranicznych na numery abonenckie Zamawiającego objęte Umową.</w:t>
      </w:r>
    </w:p>
    <w:p w:rsidR="00363CE5" w:rsidRDefault="00363CE5" w:rsidP="00363CE5">
      <w:pPr>
        <w:pStyle w:val="Akapitzlist"/>
        <w:numPr>
          <w:ilvl w:val="1"/>
          <w:numId w:val="2"/>
        </w:numPr>
        <w:jc w:val="both"/>
      </w:pPr>
      <w:r>
        <w:t>Wykonawca zapewni możliwość wysyłania i odbierania wiadomości SMS/MMS w kraju niezależnie od operatora oraz dostęp do oferowanych przez Wykonawcę serwisów na telefonach komórkowych.</w:t>
      </w:r>
    </w:p>
    <w:p w:rsidR="00363CE5" w:rsidRDefault="00363CE5" w:rsidP="00363CE5">
      <w:pPr>
        <w:pStyle w:val="Akapitzlist"/>
        <w:numPr>
          <w:ilvl w:val="1"/>
          <w:numId w:val="2"/>
        </w:numPr>
        <w:jc w:val="both"/>
      </w:pPr>
      <w:r>
        <w:t>Wykonawca zapewni możliwość transmisji wideo w dostępnych sieciach pomiędzy numerami aktywacji głosowych Zamawiającego.</w:t>
      </w:r>
    </w:p>
    <w:p w:rsidR="00363CE5" w:rsidRDefault="00363CE5" w:rsidP="00363CE5">
      <w:pPr>
        <w:pStyle w:val="Akapitzlist"/>
        <w:numPr>
          <w:ilvl w:val="1"/>
          <w:numId w:val="2"/>
        </w:numPr>
        <w:jc w:val="both"/>
      </w:pPr>
      <w:r>
        <w:t>Wszelkie planowane przez Wykonawcę działania, których skutkiem będzie niedostępność jakichkolwiek usług telekomunikacyjnych muszą być każdorazowo zgłaszane Zamawiającemu w wyprzedzeniem, najpóźniej na jeden dzień roboczy wcześniej. W przypadku braku takiego zgłoszenia przer</w:t>
      </w:r>
      <w:r w:rsidR="00784F27">
        <w:t>wa w świadczeniu usługi będzie</w:t>
      </w:r>
      <w:r>
        <w:t xml:space="preserve"> uznawana jako stan niedostępności usługi. Sumaryczny czas planowanych przerw nie może przekroczyć dwóch godzin miesięcznie.</w:t>
      </w:r>
    </w:p>
    <w:p w:rsidR="00E75B30" w:rsidRDefault="00363CE5" w:rsidP="008D6A0E">
      <w:pPr>
        <w:pStyle w:val="Akapitzlist"/>
        <w:numPr>
          <w:ilvl w:val="1"/>
          <w:numId w:val="2"/>
        </w:numPr>
        <w:jc w:val="both"/>
      </w:pPr>
      <w:r>
        <w:t xml:space="preserve">W przypadku awarii łączy Wykonawca zapewni bezzwłoczną reakcję serwisu, przy czym czas reakcji nie może być dłuższy niż jedna godzina liczona od powzięcia przez Wykonawcę wiadomości o awarii oraz Wykonawca zapewni czterogodzinny czas usunięcia awarii łączy </w:t>
      </w:r>
      <w:r w:rsidR="001D4A7B">
        <w:br/>
      </w:r>
      <w:r>
        <w:t>i przywrócenia świadczenia usług n</w:t>
      </w:r>
      <w:r w:rsidR="00970666">
        <w:t>a zasadach określonych w Umowie.</w:t>
      </w:r>
    </w:p>
    <w:p w:rsidR="008D6A0E" w:rsidRDefault="008D6A0E" w:rsidP="008D6A0E">
      <w:pPr>
        <w:pStyle w:val="Akapitzlist"/>
        <w:jc w:val="both"/>
      </w:pPr>
    </w:p>
    <w:p w:rsidR="00970666" w:rsidRPr="001D4A7B" w:rsidRDefault="00970666" w:rsidP="008D6A0E">
      <w:pPr>
        <w:pStyle w:val="Akapitzlist"/>
        <w:numPr>
          <w:ilvl w:val="0"/>
          <w:numId w:val="2"/>
        </w:numPr>
        <w:jc w:val="both"/>
        <w:rPr>
          <w:b/>
        </w:rPr>
      </w:pPr>
      <w:r w:rsidRPr="001D4A7B">
        <w:rPr>
          <w:b/>
        </w:rPr>
        <w:t>SZCZEGÓ</w:t>
      </w:r>
      <w:r w:rsidR="00BE0424" w:rsidRPr="001D4A7B">
        <w:rPr>
          <w:b/>
        </w:rPr>
        <w:t>ŁOWE WYMAGANIA DOTYCZĄCE</w:t>
      </w:r>
      <w:r w:rsidRPr="001D4A7B">
        <w:rPr>
          <w:b/>
        </w:rPr>
        <w:t xml:space="preserve"> ŚWIADCZENIA USŁUG GŁOSOWYCH </w:t>
      </w:r>
      <w:r w:rsidR="001D4A7B">
        <w:rPr>
          <w:b/>
        </w:rPr>
        <w:br/>
      </w:r>
      <w:r w:rsidRPr="001D4A7B">
        <w:rPr>
          <w:b/>
        </w:rPr>
        <w:t>Z TRANSMISJĄ DANYCH</w:t>
      </w:r>
    </w:p>
    <w:p w:rsidR="001D4A7B" w:rsidRDefault="00E75B30" w:rsidP="00653262">
      <w:pPr>
        <w:pStyle w:val="Akapitzlist"/>
        <w:numPr>
          <w:ilvl w:val="1"/>
          <w:numId w:val="2"/>
        </w:numPr>
        <w:jc w:val="both"/>
      </w:pPr>
      <w:r>
        <w:t>Zamawiający wymaga aktywacji usług głosowych w dwóch wariantach które obejmują wymagania opisane w tabelach</w:t>
      </w:r>
      <w:r w:rsidR="001D4A7B">
        <w:t>:</w:t>
      </w:r>
    </w:p>
    <w:p w:rsidR="00653262" w:rsidRDefault="00653262" w:rsidP="00653262">
      <w:pPr>
        <w:jc w:val="both"/>
      </w:pPr>
    </w:p>
    <w:p w:rsidR="00970666" w:rsidRDefault="00970666" w:rsidP="00970666">
      <w:pPr>
        <w:pStyle w:val="Akapitzlist"/>
        <w:jc w:val="both"/>
      </w:pPr>
      <w:r>
        <w:lastRenderedPageBreak/>
        <w:t>TABELA NR 2</w:t>
      </w:r>
      <w:r w:rsidR="00E75B30">
        <w:t xml:space="preserve">: PAKIET 1 </w:t>
      </w:r>
    </w:p>
    <w:p w:rsidR="00E75B30" w:rsidRDefault="00E75B30" w:rsidP="00970666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789"/>
        <w:gridCol w:w="4058"/>
      </w:tblGrid>
      <w:tr w:rsidR="00E75B30" w:rsidTr="0005432C">
        <w:tc>
          <w:tcPr>
            <w:tcW w:w="8342" w:type="dxa"/>
            <w:gridSpan w:val="3"/>
          </w:tcPr>
          <w:p w:rsidR="00E75B30" w:rsidRDefault="00E75B30" w:rsidP="00E75B30">
            <w:pPr>
              <w:pStyle w:val="Akapitzlist"/>
              <w:ind w:left="0"/>
              <w:jc w:val="center"/>
            </w:pPr>
            <w:r>
              <w:t>PAKIET 1</w:t>
            </w:r>
          </w:p>
        </w:tc>
      </w:tr>
      <w:tr w:rsidR="00E75B30" w:rsidTr="00363AA2">
        <w:tc>
          <w:tcPr>
            <w:tcW w:w="495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Specyfikacja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Wymagania Zamawiającego</w:t>
            </w:r>
          </w:p>
        </w:tc>
      </w:tr>
      <w:tr w:rsidR="00E75B30" w:rsidTr="00363AA2">
        <w:tc>
          <w:tcPr>
            <w:tcW w:w="495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Podstawowa opłata abonamentowa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Jednolita dla wszystkich przeniesionych oraz nowo aktywowanych numerów abonenckich w sieci telekomunikacyjnej Wykonawcy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Nielimitowane rozmowy na terenie Polski 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koszt podstawowej opłaty abonamentowej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3</w:t>
            </w:r>
            <w:r w:rsidR="00E75B30">
              <w:t>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Pakiet do</w:t>
            </w:r>
            <w:r w:rsidR="00E777BD">
              <w:t xml:space="preserve"> transmisji danych o wielkości </w:t>
            </w:r>
            <w:r w:rsidR="00E777BD" w:rsidRPr="00AA7C94">
              <w:t>20</w:t>
            </w:r>
            <w:r w:rsidRPr="00AA7C94">
              <w:t xml:space="preserve"> GB </w:t>
            </w:r>
            <w:r>
              <w:t>na każdy numer a</w:t>
            </w:r>
            <w:r w:rsidR="00B433F9">
              <w:t>bonencki (dostępny na terenie Polski</w:t>
            </w:r>
            <w:r>
              <w:t>)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 xml:space="preserve">Wliczony w koszt podstawowej opłaty abonamentowej Taryfikacja usług transmisji danych na terenie Polski maksymalnie co 1 </w:t>
            </w:r>
            <w:proofErr w:type="spellStart"/>
            <w:r>
              <w:t>kB</w:t>
            </w:r>
            <w:proofErr w:type="spellEnd"/>
            <w:r>
              <w:t xml:space="preserve"> Po wyczerpaniu 95% pakietu prędkość transferu może ulec zmniejszeniu, natomiast Zamawiający z tego tytułu nie poniesie dodatkowych kosztów za dalszą transmisję danych na terenie Polski Prędkość transferu może być ograniczona do minimum 16kbit/s Przesyłanie informacji w formie SMS o wykorzystaniu pakietu transmisji danych objętego opłatą abonamentową Przywrócenie natychmiast pełnej funkcjonalności po uruchomieniu dodatkowego pakietu, taryfikowane</w:t>
            </w:r>
            <w:r w:rsidR="00000EF7">
              <w:t>go wg cennika Wykonawcy.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Opłata za pakiet do transferu danych w </w:t>
            </w:r>
            <w:proofErr w:type="spellStart"/>
            <w:r>
              <w:t>roamingu</w:t>
            </w:r>
            <w:proofErr w:type="spellEnd"/>
            <w:r>
              <w:t xml:space="preserve"> o wielkości co najmniej </w:t>
            </w:r>
            <w:r w:rsidRPr="00AA7C94">
              <w:t xml:space="preserve">5 GB </w:t>
            </w:r>
            <w:r>
              <w:t>w UE</w:t>
            </w:r>
          </w:p>
        </w:tc>
        <w:tc>
          <w:tcPr>
            <w:tcW w:w="4058" w:type="dxa"/>
          </w:tcPr>
          <w:p w:rsidR="00A30BCD" w:rsidRDefault="00000EF7" w:rsidP="00000EF7">
            <w:pPr>
              <w:pStyle w:val="Akapitzlist"/>
              <w:ind w:left="0"/>
              <w:jc w:val="both"/>
            </w:pPr>
            <w:r>
              <w:t>Wliczony</w:t>
            </w:r>
            <w:r w:rsidR="003C1752">
              <w:t xml:space="preserve"> w koszt podstawowej opłaty abonamentowej</w:t>
            </w:r>
            <w:r>
              <w:t>.</w:t>
            </w:r>
            <w:r w:rsidR="003C1752">
              <w:t xml:space="preserve"> </w:t>
            </w:r>
            <w:r w:rsidR="006564FA">
              <w:t>Wykonawca umożliwi  zwiększenie pakie</w:t>
            </w:r>
            <w:r>
              <w:t>tu w przypadku jego wyczerpania zgodnie z cennikiem Wykonawcy.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3789" w:type="dxa"/>
          </w:tcPr>
          <w:p w:rsidR="00A30BCD" w:rsidRDefault="00A30BCD" w:rsidP="00993C9E">
            <w:pPr>
              <w:pStyle w:val="Akapitzlist"/>
              <w:ind w:left="0"/>
              <w:jc w:val="both"/>
            </w:pPr>
            <w:r>
              <w:t xml:space="preserve">Opłata za pakiet do transferu danych w </w:t>
            </w:r>
            <w:proofErr w:type="spellStart"/>
            <w:r>
              <w:t>roamingu</w:t>
            </w:r>
            <w:proofErr w:type="spellEnd"/>
            <w:r>
              <w:t xml:space="preserve"> poza UE</w:t>
            </w:r>
          </w:p>
        </w:tc>
        <w:tc>
          <w:tcPr>
            <w:tcW w:w="4058" w:type="dxa"/>
          </w:tcPr>
          <w:p w:rsidR="00993C9E" w:rsidRDefault="006564FA" w:rsidP="003E270F">
            <w:pPr>
              <w:pStyle w:val="Akapitzlist"/>
              <w:ind w:left="0"/>
              <w:jc w:val="both"/>
            </w:pPr>
            <w:r>
              <w:t xml:space="preserve">Jednorazowa opłata zgodna z cennikiem Wykonawcy. </w:t>
            </w:r>
            <w:r w:rsidR="00993C9E">
              <w:t>Pakiet aktywowany na zgłoszenie Zamawiającego.</w:t>
            </w:r>
          </w:p>
          <w:p w:rsidR="00A30BCD" w:rsidRDefault="006564FA" w:rsidP="003E270F">
            <w:pPr>
              <w:pStyle w:val="Akapitzlist"/>
              <w:ind w:left="0"/>
              <w:jc w:val="both"/>
            </w:pPr>
            <w:r>
              <w:t>Wymagana dostępność pakietu od momentu jego aktywacji, ewentualnie najpóźniej od północy w dniu zgłoszenia. Wykonawca umożliwi  zwiększenie pakietu w przypadku jego wyczerpania.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6</w:t>
            </w:r>
            <w:r w:rsidR="00E75B30">
              <w:t xml:space="preserve">. 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Nielimitowane połączenia z pocztą głosową na terenie Polski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Wliczone w koszt podstawowej opłaty abonamentowej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7</w:t>
            </w:r>
            <w:r w:rsidR="00E75B30">
              <w:t>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Kontakt telefoniczny z Biurem Obsługi Klienta Wykonawcy (na terenie Polski)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Wliczone w koszt podstawowej opłaty abonamentowej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8</w:t>
            </w:r>
            <w:r w:rsidR="00E75B30">
              <w:t>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Opłata za inicjację połączenia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9</w:t>
            </w:r>
            <w:r w:rsidR="00E75B30">
              <w:t>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 xml:space="preserve">Taryfikacja połączeń głosowych na terenie Polski od początku połączenia (nie dotyczy </w:t>
            </w:r>
            <w:proofErr w:type="spellStart"/>
            <w:r>
              <w:t>roamingu</w:t>
            </w:r>
            <w:proofErr w:type="spellEnd"/>
            <w:r>
              <w:t xml:space="preserve"> i połączeń międzynarodowych)</w:t>
            </w:r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Jednosekundowa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10</w:t>
            </w:r>
            <w:r w:rsidR="00E75B30">
              <w:t>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 xml:space="preserve">Taryfikacja dla połączeń międzynarodowych oraz </w:t>
            </w:r>
            <w:proofErr w:type="spellStart"/>
            <w:r>
              <w:t>roamingowych</w:t>
            </w:r>
            <w:proofErr w:type="spellEnd"/>
          </w:p>
        </w:tc>
        <w:tc>
          <w:tcPr>
            <w:tcW w:w="4058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 xml:space="preserve">Nie powinna przekraczać 30 sekund, z zastrzeżeniem iż w obszarze UE powinna być zgodna z Rozporządzeniem Parlamentu Europejskiego i Rady (UE) nr 531/2012 z dnia 13 czerwca 2012 r. w sprawie </w:t>
            </w:r>
            <w:proofErr w:type="spellStart"/>
            <w:r>
              <w:t>roamingu</w:t>
            </w:r>
            <w:proofErr w:type="spellEnd"/>
            <w:r>
              <w:t xml:space="preserve"> w publicznych sieciach łączności ruchomej </w:t>
            </w:r>
            <w:r>
              <w:lastRenderedPageBreak/>
              <w:t>wewnątrz Unii, w państwach Unii Europejskiej oraz Europejskiego Obszaru Gospodarczego, a w przypadku, gdy Parlament Europejski wyda w tym obszarze przepisy zmieniające wówczas Zamawiający wymaga, aby usługi były świadczone zgodnie ze znowelizowanymi unormowaniami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lastRenderedPageBreak/>
              <w:t>11</w:t>
            </w:r>
            <w:r w:rsidR="00E75B30">
              <w:t>.</w:t>
            </w:r>
          </w:p>
        </w:tc>
        <w:tc>
          <w:tcPr>
            <w:tcW w:w="3789" w:type="dxa"/>
          </w:tcPr>
          <w:p w:rsidR="00E75B30" w:rsidRDefault="00E75B30" w:rsidP="00970666">
            <w:pPr>
              <w:pStyle w:val="Akapitzlist"/>
              <w:ind w:left="0"/>
              <w:jc w:val="both"/>
            </w:pPr>
            <w:r>
              <w:t>Koszt aktywacji karty SIM</w:t>
            </w:r>
            <w:r w:rsidR="00000EF7">
              <w:t xml:space="preserve">, </w:t>
            </w:r>
            <w:proofErr w:type="spellStart"/>
            <w:r w:rsidR="00000EF7">
              <w:t>eSIM</w:t>
            </w:r>
            <w:proofErr w:type="spellEnd"/>
          </w:p>
        </w:tc>
        <w:tc>
          <w:tcPr>
            <w:tcW w:w="4058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12</w:t>
            </w:r>
            <w:r w:rsidR="00E777BD">
              <w:t>.</w:t>
            </w:r>
          </w:p>
        </w:tc>
        <w:tc>
          <w:tcPr>
            <w:tcW w:w="3789" w:type="dxa"/>
          </w:tcPr>
          <w:p w:rsidR="00E75B30" w:rsidRDefault="00E777BD" w:rsidP="009C577D">
            <w:pPr>
              <w:pStyle w:val="Akapitzlist"/>
              <w:ind w:left="0"/>
              <w:jc w:val="both"/>
            </w:pPr>
            <w:r>
              <w:t>Koszt wydania, dostarczenia i aktywacji duplikatu karty SIM</w:t>
            </w:r>
            <w:r w:rsidR="00000EF7">
              <w:t xml:space="preserve">, </w:t>
            </w:r>
            <w:proofErr w:type="spellStart"/>
            <w:r w:rsidR="00000EF7">
              <w:t>eSIM</w:t>
            </w:r>
            <w:proofErr w:type="spellEnd"/>
            <w:r w:rsidR="00000EF7">
              <w:t xml:space="preserve"> </w:t>
            </w:r>
            <w:r>
              <w:t>w razie jej kradzieży, utraty, uszkodzenia, zablo</w:t>
            </w:r>
            <w:r w:rsidR="009C577D">
              <w:t>kowania lub stwierdzenia wady</w:t>
            </w:r>
          </w:p>
        </w:tc>
        <w:tc>
          <w:tcPr>
            <w:tcW w:w="4058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13</w:t>
            </w:r>
            <w:r w:rsidR="00E777BD">
              <w:t>.</w:t>
            </w:r>
          </w:p>
        </w:tc>
        <w:tc>
          <w:tcPr>
            <w:tcW w:w="3789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Koszt aktywacji / dezaktywacji dodatkowych usług / pakietów</w:t>
            </w:r>
          </w:p>
        </w:tc>
        <w:tc>
          <w:tcPr>
            <w:tcW w:w="4058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14</w:t>
            </w:r>
            <w:r w:rsidR="00E777BD">
              <w:t>.</w:t>
            </w:r>
          </w:p>
        </w:tc>
        <w:tc>
          <w:tcPr>
            <w:tcW w:w="3789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Czas trwania okresu rozliczeniowego</w:t>
            </w:r>
          </w:p>
        </w:tc>
        <w:tc>
          <w:tcPr>
            <w:tcW w:w="4058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Miesięczny okres rozliczeniowy</w:t>
            </w:r>
          </w:p>
        </w:tc>
      </w:tr>
      <w:tr w:rsidR="00E75B30" w:rsidTr="00363AA2">
        <w:tc>
          <w:tcPr>
            <w:tcW w:w="495" w:type="dxa"/>
          </w:tcPr>
          <w:p w:rsidR="00E75B30" w:rsidRDefault="00A30BCD" w:rsidP="00970666">
            <w:pPr>
              <w:pStyle w:val="Akapitzlist"/>
              <w:ind w:left="0"/>
              <w:jc w:val="both"/>
            </w:pPr>
            <w:r>
              <w:t>15</w:t>
            </w:r>
            <w:r w:rsidR="00E777BD">
              <w:t>.</w:t>
            </w:r>
          </w:p>
        </w:tc>
        <w:tc>
          <w:tcPr>
            <w:tcW w:w="3789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Usługi możliwe do zablokowania i odblokowania przez Wykonawcę</w:t>
            </w:r>
          </w:p>
        </w:tc>
        <w:tc>
          <w:tcPr>
            <w:tcW w:w="4058" w:type="dxa"/>
          </w:tcPr>
          <w:p w:rsidR="00E75B30" w:rsidRDefault="00E777BD" w:rsidP="00970666">
            <w:pPr>
              <w:pStyle w:val="Akapitzlist"/>
              <w:ind w:left="0"/>
              <w:jc w:val="both"/>
            </w:pPr>
            <w:r>
              <w:t>Nawiązywanie połączeń z numerami o podwyższonej opłacie</w:t>
            </w:r>
          </w:p>
          <w:p w:rsidR="00E777BD" w:rsidRDefault="00E777BD" w:rsidP="00970666">
            <w:pPr>
              <w:pStyle w:val="Akapitzlist"/>
              <w:ind w:left="0"/>
              <w:jc w:val="both"/>
            </w:pPr>
            <w:r>
              <w:t xml:space="preserve">Wysyłanie oraz odbieranie wiadomości SMS i MMS o podwyższonej opłacie Korzystanie z usług elektronicznych Odbieranie połączeń na koszt Zamawiającego Korzystanie z usług typu Premium i WAP Premium </w:t>
            </w:r>
            <w:proofErr w:type="spellStart"/>
            <w:r>
              <w:t>Roaming</w:t>
            </w:r>
            <w:proofErr w:type="spellEnd"/>
            <w:r>
              <w:t xml:space="preserve"> Transmisja danych Wysyłanie SMS-ów i MMS-ów Połączenia międzynarodowe Zablokowanie oraz odblokowanie usług na wskazanych przez Zamawiającego numerach nastąpi wyłączenie na podstawie pisemnej dyspozycji Zamawiającego, ewentualnie na podstawie zmian na koncie prowadzanych przez administratora</w:t>
            </w:r>
          </w:p>
        </w:tc>
      </w:tr>
      <w:tr w:rsidR="00E777BD" w:rsidTr="00363AA2">
        <w:tc>
          <w:tcPr>
            <w:tcW w:w="495" w:type="dxa"/>
          </w:tcPr>
          <w:p w:rsidR="00E777BD" w:rsidRDefault="00A30BCD" w:rsidP="00970666">
            <w:pPr>
              <w:pStyle w:val="Akapitzlist"/>
              <w:ind w:left="0"/>
              <w:jc w:val="both"/>
            </w:pPr>
            <w:r>
              <w:t>16</w:t>
            </w:r>
            <w:r w:rsidR="00E777BD">
              <w:t>.</w:t>
            </w:r>
          </w:p>
        </w:tc>
        <w:tc>
          <w:tcPr>
            <w:tcW w:w="3789" w:type="dxa"/>
          </w:tcPr>
          <w:p w:rsidR="00E777BD" w:rsidRDefault="00E777BD" w:rsidP="00970666">
            <w:pPr>
              <w:pStyle w:val="Akapitzlist"/>
              <w:ind w:left="0"/>
              <w:jc w:val="both"/>
            </w:pPr>
            <w:r>
              <w:t>Dodatkowe aktywne funkcje i możliwości (wliczone w podstawową opłatę abonamentową)</w:t>
            </w:r>
          </w:p>
        </w:tc>
        <w:tc>
          <w:tcPr>
            <w:tcW w:w="4058" w:type="dxa"/>
          </w:tcPr>
          <w:p w:rsidR="00E777BD" w:rsidRDefault="00E777BD" w:rsidP="00970666">
            <w:pPr>
              <w:pStyle w:val="Akapitzlist"/>
              <w:ind w:left="0"/>
              <w:jc w:val="both"/>
            </w:pPr>
            <w:r>
              <w:t>Możliwość wprowadzenia limitów kosztowych na poszczególnych numerach w wariancie miękkim (tj. operator informuje użytkownika o przekroczeniu limitu nie blokując jednocześnie dostępu do usług) Sprawdzanie stanu wykorzystania usług / wysokości wygenerowanych kosztów w danym okresie rozliczeniowym: Wykonawca dla każdej aktywacji zapewni możliwość sprawdzania ilości wykorzystanych usług w danym okresie rozliczeniowym, zarówno pakietów transmisji danych jak i kosztów połączeń, np. przez aplikację (bez potrzeby założenia indywidualnego konta), SMS lub połączenie z ded</w:t>
            </w:r>
            <w:r w:rsidR="006B710D">
              <w:t>ykowanym do tej usługi numerem.</w:t>
            </w:r>
            <w:r>
              <w:t xml:space="preserve"> Opis usługi docelowo stanowić załącznik do Umowy Możliwość blokowania prezentacji własnego numeru (CLIR - </w:t>
            </w:r>
            <w:proofErr w:type="spellStart"/>
            <w:r>
              <w:t>Calling</w:t>
            </w:r>
            <w:proofErr w:type="spellEnd"/>
            <w:r>
              <w:t xml:space="preserve"> Line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Restriction</w:t>
            </w:r>
            <w:proofErr w:type="spellEnd"/>
            <w:r>
              <w:t xml:space="preserve">) Identyfikacja i prezentacja numeru rozmówcy (CLIP - </w:t>
            </w:r>
            <w:proofErr w:type="spellStart"/>
            <w:r>
              <w:t>Calling</w:t>
            </w:r>
            <w:proofErr w:type="spellEnd"/>
            <w:r>
              <w:t xml:space="preserve"> Line </w:t>
            </w:r>
            <w:proofErr w:type="spellStart"/>
            <w:r>
              <w:t>Identification</w:t>
            </w:r>
            <w:proofErr w:type="spellEnd"/>
            <w:r>
              <w:t xml:space="preserve"> Presentation) Informacja o próbie nawiązania połączenia z użytkownikiem danego numeru Możliwość </w:t>
            </w:r>
            <w:r>
              <w:lastRenderedPageBreak/>
              <w:t>zawieszenia połączenia Informacja o połączeniu oczekującym Możliwość ustawienia przekierowania połączeń głosowych Możliwość blokowania połączeń przychodzących z numerów zastrzeżonych</w:t>
            </w:r>
          </w:p>
        </w:tc>
      </w:tr>
    </w:tbl>
    <w:p w:rsidR="00E75B30" w:rsidRDefault="00E75B30" w:rsidP="00970666">
      <w:pPr>
        <w:pStyle w:val="Akapitzlist"/>
        <w:jc w:val="both"/>
      </w:pPr>
    </w:p>
    <w:p w:rsidR="00A30BCD" w:rsidRDefault="00A30BCD" w:rsidP="00970666">
      <w:pPr>
        <w:pStyle w:val="Akapitzlist"/>
        <w:jc w:val="both"/>
      </w:pPr>
    </w:p>
    <w:p w:rsidR="00A30BCD" w:rsidRDefault="00BE0424" w:rsidP="00970666">
      <w:pPr>
        <w:pStyle w:val="Akapitzlist"/>
        <w:jc w:val="both"/>
      </w:pPr>
      <w:r>
        <w:t xml:space="preserve">TABELA NR </w:t>
      </w:r>
      <w:r w:rsidR="001D4A7B">
        <w:t>3: PAKIET 2</w:t>
      </w:r>
    </w:p>
    <w:p w:rsidR="00A30BCD" w:rsidRDefault="00A30BCD" w:rsidP="00970666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3789"/>
        <w:gridCol w:w="4058"/>
      </w:tblGrid>
      <w:tr w:rsidR="00A30BCD" w:rsidTr="003E270F">
        <w:tc>
          <w:tcPr>
            <w:tcW w:w="8342" w:type="dxa"/>
            <w:gridSpan w:val="3"/>
          </w:tcPr>
          <w:p w:rsidR="00A30BCD" w:rsidRDefault="00A30BCD" w:rsidP="003E270F">
            <w:pPr>
              <w:pStyle w:val="Akapitzlist"/>
              <w:ind w:left="0"/>
              <w:jc w:val="center"/>
            </w:pPr>
            <w:r>
              <w:t>PAKIET 2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Specyfikacja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Wymagania Zamawiającego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Podstawowa opłata abonamentowa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Jednolita dla wszystkich przeniesionych oraz nowo aktywowanych numerów abonenckich w sieci telekomunikacyjnej Wykonawcy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Nielimitowane rozmowy na terenie Polski 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koszt podstawowej opłaty abonamentowej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Pakiet do transmisji danych o wielkości </w:t>
            </w:r>
            <w:r w:rsidR="00BE0424" w:rsidRPr="006B710D">
              <w:t>10</w:t>
            </w:r>
            <w:r w:rsidRPr="006B710D">
              <w:t xml:space="preserve">0 GB </w:t>
            </w:r>
            <w:r>
              <w:t>na każdy numer abonencki (dostępny na te</w:t>
            </w:r>
            <w:r w:rsidR="00B433F9">
              <w:t>renie Polski</w:t>
            </w:r>
            <w:r>
              <w:t>)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Wliczony w koszt podstawowej opłaty abonamentowej Taryfikacja usług transmisji danych na terenie Polski maksymalnie co 1 </w:t>
            </w:r>
            <w:proofErr w:type="spellStart"/>
            <w:r>
              <w:t>kB</w:t>
            </w:r>
            <w:proofErr w:type="spellEnd"/>
            <w:r>
              <w:t xml:space="preserve"> Po wyczerpaniu 95% pakietu prędkość transferu może ulec zmniejszeniu, natomiast Zamawiający z tego tytułu nie poniesie dodatkowych kosztów za dalszą transmisję danych na terenie Polski Prędkość transferu może być ograniczona do minimum 16kbit/s Przesyłanie informacji w formie SMS o wykorzystaniu pakietu transmisji danych objętego opłatą abonamentową Przywrócenie natychmiast pełnej funkcjonalności po uruchomieniu dodatkowego pakietu, taryfikowane</w:t>
            </w:r>
            <w:r w:rsidR="00000EF7">
              <w:t>go wg cennika Wykonawcy.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Opłata za pakiet do transferu danych w </w:t>
            </w:r>
            <w:proofErr w:type="spellStart"/>
            <w:r>
              <w:t>roamingu</w:t>
            </w:r>
            <w:proofErr w:type="spellEnd"/>
            <w:r>
              <w:t xml:space="preserve"> o wielkości co najmniej </w:t>
            </w:r>
            <w:r w:rsidR="00BE0424" w:rsidRPr="006B710D">
              <w:t>15</w:t>
            </w:r>
            <w:r w:rsidRPr="006B710D">
              <w:t xml:space="preserve"> GB </w:t>
            </w:r>
            <w:r>
              <w:t>w UE</w:t>
            </w:r>
          </w:p>
        </w:tc>
        <w:tc>
          <w:tcPr>
            <w:tcW w:w="4058" w:type="dxa"/>
          </w:tcPr>
          <w:p w:rsidR="00A30BCD" w:rsidRDefault="00000EF7" w:rsidP="003E270F">
            <w:pPr>
              <w:pStyle w:val="Akapitzlist"/>
              <w:ind w:left="0"/>
              <w:jc w:val="both"/>
            </w:pPr>
            <w:r>
              <w:t>Wliczony w koszt podstawowej opłaty abonamentowej. Wykonawca umożliwi  zwiększenie pakietu w przypadku jego wyczerpania zgodnie z cennikiem Wykonawcy.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3789" w:type="dxa"/>
          </w:tcPr>
          <w:p w:rsidR="00A30BCD" w:rsidRDefault="00A30BCD" w:rsidP="00000EF7">
            <w:pPr>
              <w:pStyle w:val="Akapitzlist"/>
              <w:ind w:left="0"/>
              <w:jc w:val="both"/>
            </w:pPr>
            <w:r>
              <w:t>Opłata za pakiet d</w:t>
            </w:r>
            <w:r w:rsidR="00000EF7">
              <w:t xml:space="preserve">o transferu danych w </w:t>
            </w:r>
            <w:proofErr w:type="spellStart"/>
            <w:r w:rsidR="00000EF7">
              <w:t>roamingu</w:t>
            </w:r>
            <w:proofErr w:type="spellEnd"/>
            <w:r w:rsidR="00000EF7">
              <w:t xml:space="preserve"> </w:t>
            </w:r>
            <w:r>
              <w:t>poza UE</w:t>
            </w:r>
          </w:p>
        </w:tc>
        <w:tc>
          <w:tcPr>
            <w:tcW w:w="4058" w:type="dxa"/>
          </w:tcPr>
          <w:p w:rsidR="00A30BCD" w:rsidRDefault="006564FA" w:rsidP="003E270F">
            <w:pPr>
              <w:pStyle w:val="Akapitzlist"/>
              <w:ind w:left="0"/>
              <w:jc w:val="both"/>
            </w:pPr>
            <w:r>
              <w:t>Jednorazowa opłata zgodna z cennikiem Wykonawcy. Wymagana dostępność pakietu od momentu jego aktywacji, ewentualnie najpóźniej od północy w dniu zgłoszenia. Wykonawca umożliwi  zwiększenie pakietu w przypadku jego wyczerpania.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6. 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Nielimitowane połączenia z pocztą głosową na terenie Polski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koszt podstawowej opłaty abonamentowej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Kontakt telefoniczny z Biurem Obsługi Klienta Wykonawcy (na terenie Polski)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koszt podstawowej opłaty abonamentowej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Opłata za inicjację połączenia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Taryfikacja połączeń głosowych na terenie Polski od początku połączenia (nie </w:t>
            </w:r>
            <w:r>
              <w:lastRenderedPageBreak/>
              <w:t xml:space="preserve">dotyczy </w:t>
            </w:r>
            <w:proofErr w:type="spellStart"/>
            <w:r>
              <w:t>roamingu</w:t>
            </w:r>
            <w:proofErr w:type="spellEnd"/>
            <w:r>
              <w:t xml:space="preserve"> i połączeń międzynarodowych)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lastRenderedPageBreak/>
              <w:t>Jednosekundowa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10.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Taryfikacja dla połączeń międzynarodowych oraz </w:t>
            </w:r>
            <w:proofErr w:type="spellStart"/>
            <w:r>
              <w:t>roamingowych</w:t>
            </w:r>
            <w:proofErr w:type="spellEnd"/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Nie powinna przekraczać 30 sekund, z zastrzeżeniem iż w obszarze UE powinna być zgodna z Rozporządzeniem Parlamentu Europejskiego i Rady (UE) nr 531/2012 z dnia 13 czerwca 2012 r. w sprawie </w:t>
            </w:r>
            <w:proofErr w:type="spellStart"/>
            <w:r>
              <w:t>roamingu</w:t>
            </w:r>
            <w:proofErr w:type="spellEnd"/>
            <w:r>
              <w:t xml:space="preserve"> w publicznych sieciach łączności ruchomej wewnątrz Unii, w państwach Unii Europejskiej oraz Europejskiego Obszaru Gospodarczego, a w przypadku, gdy Parlament Europejski wyda w tym obszarze przepisy zmieniające wówczas Zamawiający wymaga, aby usługi były świadczone zgodnie ze znowelizowanymi unormowaniami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11.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Koszt aktywacji karty SIM</w:t>
            </w:r>
            <w:r w:rsidR="00000EF7">
              <w:t>, e-SIM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12.</w:t>
            </w:r>
          </w:p>
        </w:tc>
        <w:tc>
          <w:tcPr>
            <w:tcW w:w="3789" w:type="dxa"/>
          </w:tcPr>
          <w:p w:rsidR="00A30BCD" w:rsidRDefault="00A30BCD" w:rsidP="00000EF7">
            <w:pPr>
              <w:pStyle w:val="Akapitzlist"/>
              <w:ind w:left="0"/>
              <w:jc w:val="both"/>
            </w:pPr>
            <w:r>
              <w:t xml:space="preserve">Koszt wydania, dostarczenia </w:t>
            </w:r>
            <w:r w:rsidR="00000EF7">
              <w:t xml:space="preserve">i aktywacji duplikatu karty SIM, </w:t>
            </w:r>
            <w:proofErr w:type="spellStart"/>
            <w:r w:rsidR="00000EF7">
              <w:t>eSIM</w:t>
            </w:r>
            <w:proofErr w:type="spellEnd"/>
            <w:r w:rsidR="00000EF7">
              <w:t xml:space="preserve"> </w:t>
            </w:r>
            <w:r>
              <w:t>w razie jej kradzieży, utraty, uszkodzenia, zabl</w:t>
            </w:r>
            <w:r w:rsidR="00000EF7">
              <w:t>okowania lub stwierdzenia wady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13.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Koszt aktywacji / dezaktywacji dodatkowych usług / pakietów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Wliczone w podstawową opłatę abonamentową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14.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Czas trwania okresu rozliczeniowego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Miesięczny okres rozliczeniowy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15.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Usługi możliwe do zablokowania i odblokowania przez Wykonawcę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Nawiązywanie połączeń z numerami o podwyższonej opłacie</w:t>
            </w:r>
          </w:p>
          <w:p w:rsidR="00A30BCD" w:rsidRDefault="00A30BCD" w:rsidP="003E270F">
            <w:pPr>
              <w:pStyle w:val="Akapitzlist"/>
              <w:ind w:left="0"/>
              <w:jc w:val="both"/>
            </w:pPr>
            <w:r>
              <w:t xml:space="preserve">Wysyłanie oraz odbieranie wiadomości SMS i MMS o podwyższonej opłacie Korzystanie z usług elektronicznych Odbieranie połączeń na koszt Zamawiającego Korzystanie z usług typu Premium i WAP Premium </w:t>
            </w:r>
            <w:proofErr w:type="spellStart"/>
            <w:r>
              <w:t>Roaming</w:t>
            </w:r>
            <w:proofErr w:type="spellEnd"/>
            <w:r>
              <w:t xml:space="preserve"> Transmisja danych Wysyłanie SMS-ów i MMS-ów Połączenia międzynarodowe Zablokowanie oraz odblokowanie usług na wskazanych przez Zamawiającego numerach nastąpi wyłączenie na podstawie pisemnej dyspozycji Zamawiającego, ewentualnie na podstawie zmian na koncie prowadzanych przez administratora</w:t>
            </w:r>
          </w:p>
        </w:tc>
      </w:tr>
      <w:tr w:rsidR="00A30BCD" w:rsidTr="003E270F">
        <w:tc>
          <w:tcPr>
            <w:tcW w:w="495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16.</w:t>
            </w:r>
          </w:p>
        </w:tc>
        <w:tc>
          <w:tcPr>
            <w:tcW w:w="3789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Dodatkowe aktywne funkcje i możliwości (wliczone w podstawową opłatę abonamentową)</w:t>
            </w:r>
          </w:p>
        </w:tc>
        <w:tc>
          <w:tcPr>
            <w:tcW w:w="4058" w:type="dxa"/>
          </w:tcPr>
          <w:p w:rsidR="00A30BCD" w:rsidRDefault="00A30BCD" w:rsidP="003E270F">
            <w:pPr>
              <w:pStyle w:val="Akapitzlist"/>
              <w:ind w:left="0"/>
              <w:jc w:val="both"/>
            </w:pPr>
            <w:r>
              <w:t>Możliwość wprowadzenia limitów kosztowych na poszczególnych numerach w wariancie miękkim (tj. operator informuje użytkownika o przekroczeniu limitu nie blokując jednocześnie dostępu do usług) Sprawdzanie stanu wykorzystania usług / wysokości wygenerowanych kosztów w danym okresie rozliczeniowym: Wykonawca dla każdej aktywacji zapewni możliwość sprawdzania ilości wykorzystanych usług w danym okresie rozliczeniowym, zarówno pakietów transmisji danych jak i kosztów połączeń, np. przez aplikację (bez potrzeby założenia indywidualnego konta), SMS lub połączenie z ded</w:t>
            </w:r>
            <w:r w:rsidR="006B710D">
              <w:t>ykowanym do tej usługi numerem.</w:t>
            </w:r>
            <w:r>
              <w:t xml:space="preserve"> Opis </w:t>
            </w:r>
            <w:r>
              <w:lastRenderedPageBreak/>
              <w:t xml:space="preserve">usługi docelowo stanowić załącznik do Umowy Możliwość blokowania prezentacji własnego numeru (CLIR - </w:t>
            </w:r>
            <w:proofErr w:type="spellStart"/>
            <w:r>
              <w:t>Calling</w:t>
            </w:r>
            <w:proofErr w:type="spellEnd"/>
            <w:r>
              <w:t xml:space="preserve"> Line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Restriction</w:t>
            </w:r>
            <w:proofErr w:type="spellEnd"/>
            <w:r>
              <w:t xml:space="preserve">) Identyfikacja i prezentacja numeru rozmówcy (CLIP - </w:t>
            </w:r>
            <w:proofErr w:type="spellStart"/>
            <w:r>
              <w:t>Calling</w:t>
            </w:r>
            <w:proofErr w:type="spellEnd"/>
            <w:r>
              <w:t xml:space="preserve"> Line </w:t>
            </w:r>
            <w:proofErr w:type="spellStart"/>
            <w:r>
              <w:t>Identification</w:t>
            </w:r>
            <w:proofErr w:type="spellEnd"/>
            <w:r>
              <w:t xml:space="preserve"> Presentation) Informacja o próbie nawiązania połączenia z użytkownikiem danego numeru Możliwość zawieszenia połączenia Informacja o połączeniu oczekującym Możliwość ustawienia przekierowania połączeń głosowych Możliwość blokowania połączeń przychodzących z numerów zastrzeżonych</w:t>
            </w:r>
          </w:p>
        </w:tc>
      </w:tr>
    </w:tbl>
    <w:p w:rsidR="00A30BCD" w:rsidRDefault="00A30BCD" w:rsidP="00970666">
      <w:pPr>
        <w:pStyle w:val="Akapitzlist"/>
        <w:jc w:val="both"/>
      </w:pPr>
    </w:p>
    <w:p w:rsidR="004138DD" w:rsidRDefault="004138DD" w:rsidP="00970666">
      <w:pPr>
        <w:pStyle w:val="Akapitzlist"/>
        <w:jc w:val="both"/>
      </w:pPr>
    </w:p>
    <w:p w:rsidR="004138DD" w:rsidRPr="001F0042" w:rsidRDefault="004138DD" w:rsidP="004138DD">
      <w:pPr>
        <w:pStyle w:val="Akapitzlist"/>
        <w:numPr>
          <w:ilvl w:val="0"/>
          <w:numId w:val="2"/>
        </w:numPr>
        <w:jc w:val="both"/>
        <w:rPr>
          <w:b/>
        </w:rPr>
      </w:pPr>
      <w:r w:rsidRPr="001F0042">
        <w:rPr>
          <w:b/>
        </w:rPr>
        <w:t>SZCZEGÓŁO</w:t>
      </w:r>
      <w:r w:rsidR="00BE0424" w:rsidRPr="001F0042">
        <w:rPr>
          <w:b/>
        </w:rPr>
        <w:t>WE WYMAGANIA DOTYCZĄCE</w:t>
      </w:r>
      <w:r w:rsidRPr="001F0042">
        <w:rPr>
          <w:b/>
        </w:rPr>
        <w:t xml:space="preserve"> ŚWIADCZENIA USŁUG MOBILNEGO INTERNETU</w:t>
      </w:r>
    </w:p>
    <w:p w:rsidR="00BE0424" w:rsidRDefault="00BE0424" w:rsidP="00BE0424">
      <w:pPr>
        <w:pStyle w:val="Akapitzlist"/>
        <w:numPr>
          <w:ilvl w:val="1"/>
          <w:numId w:val="2"/>
        </w:numPr>
        <w:jc w:val="both"/>
      </w:pPr>
      <w:r>
        <w:t xml:space="preserve">Zamawiający wymaga aktywacji usług mobilnego </w:t>
      </w:r>
      <w:r w:rsidR="001F0042">
        <w:t xml:space="preserve">Internetu </w:t>
      </w:r>
      <w:r>
        <w:t>w dwóch wariantach które obejmują wymagania opisane w tabelach</w:t>
      </w:r>
    </w:p>
    <w:p w:rsidR="00BE0424" w:rsidRDefault="00BE0424" w:rsidP="00BE0424">
      <w:pPr>
        <w:pStyle w:val="Akapitzlist"/>
        <w:jc w:val="both"/>
      </w:pPr>
    </w:p>
    <w:p w:rsidR="00BE0424" w:rsidRDefault="00BE0424" w:rsidP="00BE0424">
      <w:pPr>
        <w:pStyle w:val="Akapitzlist"/>
        <w:jc w:val="both"/>
      </w:pPr>
      <w:r>
        <w:t xml:space="preserve">TABELA NR 4: PAKIET 1 </w:t>
      </w:r>
    </w:p>
    <w:p w:rsidR="00BE0424" w:rsidRDefault="00BE0424" w:rsidP="00BE0424">
      <w:pPr>
        <w:jc w:val="both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686"/>
        <w:gridCol w:w="4105"/>
      </w:tblGrid>
      <w:tr w:rsidR="00BE0424" w:rsidTr="008E44AC">
        <w:tc>
          <w:tcPr>
            <w:tcW w:w="8358" w:type="dxa"/>
            <w:gridSpan w:val="3"/>
          </w:tcPr>
          <w:p w:rsidR="00BE0424" w:rsidRDefault="00BE0424" w:rsidP="00BE0424">
            <w:pPr>
              <w:jc w:val="center"/>
            </w:pPr>
            <w:r>
              <w:t>PAKIET 1</w:t>
            </w:r>
          </w:p>
        </w:tc>
      </w:tr>
      <w:tr w:rsidR="004138DD" w:rsidTr="004138DD">
        <w:tc>
          <w:tcPr>
            <w:tcW w:w="567" w:type="dxa"/>
          </w:tcPr>
          <w:p w:rsidR="004138DD" w:rsidRDefault="004138DD" w:rsidP="004138DD">
            <w:pPr>
              <w:jc w:val="both"/>
            </w:pPr>
            <w:r>
              <w:t>Lp.</w:t>
            </w:r>
          </w:p>
        </w:tc>
        <w:tc>
          <w:tcPr>
            <w:tcW w:w="3686" w:type="dxa"/>
          </w:tcPr>
          <w:p w:rsidR="004138DD" w:rsidRDefault="004138DD" w:rsidP="004138DD">
            <w:pPr>
              <w:jc w:val="both"/>
            </w:pPr>
            <w:r>
              <w:t>Specyfikacja</w:t>
            </w:r>
          </w:p>
        </w:tc>
        <w:tc>
          <w:tcPr>
            <w:tcW w:w="4105" w:type="dxa"/>
          </w:tcPr>
          <w:p w:rsidR="004138DD" w:rsidRDefault="004138DD" w:rsidP="004138DD">
            <w:pPr>
              <w:jc w:val="both"/>
            </w:pPr>
            <w:r>
              <w:t>Wymagania Zamawiającego</w:t>
            </w:r>
          </w:p>
        </w:tc>
      </w:tr>
      <w:tr w:rsidR="004138DD" w:rsidTr="004138DD">
        <w:tc>
          <w:tcPr>
            <w:tcW w:w="567" w:type="dxa"/>
          </w:tcPr>
          <w:p w:rsidR="004138DD" w:rsidRDefault="004138DD" w:rsidP="004138DD">
            <w:pPr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4138DD" w:rsidRDefault="004138DD" w:rsidP="004138DD">
            <w:pPr>
              <w:jc w:val="both"/>
            </w:pPr>
            <w:r>
              <w:t>Podstawowa opłata abonamentowa</w:t>
            </w:r>
          </w:p>
        </w:tc>
        <w:tc>
          <w:tcPr>
            <w:tcW w:w="4105" w:type="dxa"/>
          </w:tcPr>
          <w:p w:rsidR="004138DD" w:rsidRDefault="004138DD" w:rsidP="004138DD">
            <w:pPr>
              <w:jc w:val="both"/>
            </w:pPr>
            <w:r>
              <w:t>Jednolita dla wszystkich numerów abonenckich w sieci telekomunikacyjnej Wykonawcy Po wykorzystaniu pakietu prędkość transferu może być ograniczona do minimum 16kbit/s</w:t>
            </w:r>
          </w:p>
        </w:tc>
      </w:tr>
      <w:tr w:rsidR="00BE0424" w:rsidTr="003E270F">
        <w:tc>
          <w:tcPr>
            <w:tcW w:w="567" w:type="dxa"/>
          </w:tcPr>
          <w:p w:rsidR="00BE0424" w:rsidRDefault="00BE0424" w:rsidP="003E270F">
            <w:pPr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BE0424" w:rsidRDefault="00BE0424" w:rsidP="003E270F">
            <w:pPr>
              <w:jc w:val="both"/>
            </w:pPr>
            <w:r>
              <w:t xml:space="preserve">Podstawowy pakiet min. </w:t>
            </w:r>
            <w:r w:rsidR="0024013F" w:rsidRPr="00B433F9">
              <w:t>5</w:t>
            </w:r>
            <w:r w:rsidRPr="00B433F9">
              <w:t>0</w:t>
            </w:r>
            <w:r w:rsidRPr="003E7B66">
              <w:rPr>
                <w:color w:val="FF0000"/>
              </w:rPr>
              <w:t xml:space="preserve"> </w:t>
            </w:r>
            <w:r>
              <w:t>GB na konto na terenie Polski</w:t>
            </w:r>
          </w:p>
        </w:tc>
        <w:tc>
          <w:tcPr>
            <w:tcW w:w="4105" w:type="dxa"/>
          </w:tcPr>
          <w:p w:rsidR="00BE0424" w:rsidRDefault="00BE0424" w:rsidP="003E270F">
            <w:pPr>
              <w:jc w:val="both"/>
            </w:pPr>
            <w:r>
              <w:t>Jednorazowa opłata abonamentowa - cenę pakietu Wykonawca poda w Ofercie Po wyczerpaniu 95% pakietu prędkość transferu może ulec zmniejszeniu, natomiast Zamawiający z tego tytułu nie poniesie dodatkowych kosztów za dalszą transmisję danych na terenie Polski Prędkość transferu może być ograniczona do minimum 16kbit/s</w:t>
            </w:r>
          </w:p>
        </w:tc>
      </w:tr>
      <w:tr w:rsidR="00BE0424" w:rsidTr="003E270F">
        <w:tc>
          <w:tcPr>
            <w:tcW w:w="567" w:type="dxa"/>
          </w:tcPr>
          <w:p w:rsidR="00BE0424" w:rsidRDefault="00BE0424" w:rsidP="003E270F">
            <w:pPr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BE0424" w:rsidRDefault="00BE0424" w:rsidP="0024013F">
            <w:pPr>
              <w:jc w:val="both"/>
            </w:pPr>
            <w:r>
              <w:t xml:space="preserve">Miesięczny pakiet do transferu danych w </w:t>
            </w:r>
            <w:proofErr w:type="spellStart"/>
            <w:r>
              <w:t>roamingu</w:t>
            </w:r>
            <w:proofErr w:type="spellEnd"/>
            <w:r>
              <w:t xml:space="preserve"> o wielkości co naj</w:t>
            </w:r>
            <w:r w:rsidR="003E7B66">
              <w:t xml:space="preserve">mniej </w:t>
            </w:r>
            <w:r w:rsidR="0024013F" w:rsidRPr="00B433F9">
              <w:t>2</w:t>
            </w:r>
            <w:r w:rsidR="003E7B66" w:rsidRPr="00B433F9">
              <w:t xml:space="preserve">0 </w:t>
            </w:r>
            <w:r w:rsidR="003E7B66">
              <w:t>GB w UE</w:t>
            </w:r>
          </w:p>
        </w:tc>
        <w:tc>
          <w:tcPr>
            <w:tcW w:w="4105" w:type="dxa"/>
          </w:tcPr>
          <w:p w:rsidR="00BE0424" w:rsidRDefault="00000EF7" w:rsidP="003E270F">
            <w:pPr>
              <w:jc w:val="both"/>
            </w:pPr>
            <w:r>
              <w:t>Wliczony w koszt podstawowej opłaty abonamentowej. Wykonawca umożliwi  zwiększenie pakietu w przypadku jego wyczerpania zgodnie z cennikiem Wykonawcy.</w:t>
            </w:r>
          </w:p>
        </w:tc>
      </w:tr>
      <w:tr w:rsidR="00BE0424" w:rsidTr="003E270F">
        <w:tc>
          <w:tcPr>
            <w:tcW w:w="567" w:type="dxa"/>
          </w:tcPr>
          <w:p w:rsidR="00BE0424" w:rsidRDefault="00BE0424" w:rsidP="003E270F">
            <w:pPr>
              <w:jc w:val="both"/>
            </w:pPr>
            <w:r>
              <w:t>4.</w:t>
            </w:r>
          </w:p>
        </w:tc>
        <w:tc>
          <w:tcPr>
            <w:tcW w:w="3686" w:type="dxa"/>
          </w:tcPr>
          <w:p w:rsidR="00BE0424" w:rsidRDefault="00BE0424" w:rsidP="003E270F">
            <w:pPr>
              <w:jc w:val="both"/>
            </w:pPr>
            <w:r>
              <w:t xml:space="preserve">Miesięczny pakiet transferu danych w </w:t>
            </w:r>
            <w:proofErr w:type="spellStart"/>
            <w:r>
              <w:t>roam</w:t>
            </w:r>
            <w:r w:rsidR="00000EF7">
              <w:t>ingu</w:t>
            </w:r>
            <w:proofErr w:type="spellEnd"/>
            <w:r w:rsidR="00000EF7">
              <w:t xml:space="preserve"> </w:t>
            </w:r>
            <w:r w:rsidR="003E7B66">
              <w:t>poza UE</w:t>
            </w:r>
          </w:p>
        </w:tc>
        <w:tc>
          <w:tcPr>
            <w:tcW w:w="4105" w:type="dxa"/>
          </w:tcPr>
          <w:p w:rsidR="00BE0424" w:rsidRDefault="006564FA" w:rsidP="003E270F">
            <w:pPr>
              <w:jc w:val="both"/>
            </w:pPr>
            <w:r>
              <w:t>Jednorazowa opłata zgodna z cennikiem Wykonawcy. Wymagana dostępność pakietu od momentu jego aktywacji, ewentualnie najpóźniej od północy w dniu zgłoszenia. Wykonawca umożliwi  zwiększenie pakietu w przypadku jego wyczerpania.</w:t>
            </w:r>
          </w:p>
        </w:tc>
      </w:tr>
      <w:tr w:rsidR="004138DD" w:rsidTr="004138DD">
        <w:tc>
          <w:tcPr>
            <w:tcW w:w="567" w:type="dxa"/>
          </w:tcPr>
          <w:p w:rsidR="004138DD" w:rsidRDefault="003E7B66" w:rsidP="004138DD">
            <w:pPr>
              <w:jc w:val="both"/>
            </w:pPr>
            <w:r>
              <w:lastRenderedPageBreak/>
              <w:t>5</w:t>
            </w:r>
            <w:r w:rsidR="004138DD">
              <w:t>.</w:t>
            </w:r>
          </w:p>
        </w:tc>
        <w:tc>
          <w:tcPr>
            <w:tcW w:w="3686" w:type="dxa"/>
          </w:tcPr>
          <w:p w:rsidR="004138DD" w:rsidRDefault="004138DD" w:rsidP="004138DD">
            <w:pPr>
              <w:jc w:val="both"/>
            </w:pPr>
            <w:r>
              <w:t>Dostęp do technologii</w:t>
            </w:r>
          </w:p>
        </w:tc>
        <w:tc>
          <w:tcPr>
            <w:tcW w:w="4105" w:type="dxa"/>
          </w:tcPr>
          <w:p w:rsidR="004138DD" w:rsidRDefault="00F379B7" w:rsidP="004138DD">
            <w:pPr>
              <w:jc w:val="both"/>
            </w:pPr>
            <w:r>
              <w:t>DC-,HSPA+, HSPA+, UMTS EDGE/ GPRS/ LTE,  5G</w:t>
            </w:r>
          </w:p>
        </w:tc>
      </w:tr>
      <w:tr w:rsidR="004138DD" w:rsidTr="004138DD">
        <w:tc>
          <w:tcPr>
            <w:tcW w:w="567" w:type="dxa"/>
          </w:tcPr>
          <w:p w:rsidR="004138DD" w:rsidRDefault="003E7B66" w:rsidP="004138DD">
            <w:pPr>
              <w:jc w:val="both"/>
            </w:pPr>
            <w:r>
              <w:t>6</w:t>
            </w:r>
            <w:r w:rsidR="00F379B7">
              <w:t>.</w:t>
            </w:r>
          </w:p>
        </w:tc>
        <w:tc>
          <w:tcPr>
            <w:tcW w:w="3686" w:type="dxa"/>
          </w:tcPr>
          <w:p w:rsidR="004138DD" w:rsidRDefault="00F379B7" w:rsidP="004138DD">
            <w:pPr>
              <w:jc w:val="both"/>
            </w:pPr>
            <w:r>
              <w:t>Taryfikacja (na terenie Polski)</w:t>
            </w:r>
          </w:p>
        </w:tc>
        <w:tc>
          <w:tcPr>
            <w:tcW w:w="4105" w:type="dxa"/>
          </w:tcPr>
          <w:p w:rsidR="004138DD" w:rsidRDefault="00F379B7" w:rsidP="004138DD">
            <w:pPr>
              <w:jc w:val="both"/>
            </w:pPr>
            <w:r>
              <w:t xml:space="preserve">Maksymalnie co każde rozpoczęte 10 </w:t>
            </w:r>
            <w:proofErr w:type="spellStart"/>
            <w:r>
              <w:t>kB</w:t>
            </w:r>
            <w:proofErr w:type="spellEnd"/>
          </w:p>
        </w:tc>
      </w:tr>
      <w:tr w:rsidR="004138DD" w:rsidTr="004138DD">
        <w:tc>
          <w:tcPr>
            <w:tcW w:w="567" w:type="dxa"/>
          </w:tcPr>
          <w:p w:rsidR="004138DD" w:rsidRDefault="003E7B66" w:rsidP="004138DD">
            <w:pPr>
              <w:jc w:val="both"/>
            </w:pPr>
            <w:r>
              <w:t>7</w:t>
            </w:r>
            <w:r w:rsidR="00F379B7">
              <w:t>.</w:t>
            </w:r>
          </w:p>
        </w:tc>
        <w:tc>
          <w:tcPr>
            <w:tcW w:w="3686" w:type="dxa"/>
          </w:tcPr>
          <w:p w:rsidR="004138DD" w:rsidRDefault="00F379B7" w:rsidP="004138DD">
            <w:pPr>
              <w:jc w:val="both"/>
            </w:pPr>
            <w:r>
              <w:t>Koszt aktywacji / dezaktywacji usług / pakietów</w:t>
            </w:r>
          </w:p>
        </w:tc>
        <w:tc>
          <w:tcPr>
            <w:tcW w:w="4105" w:type="dxa"/>
          </w:tcPr>
          <w:p w:rsidR="004138DD" w:rsidRDefault="00F379B7" w:rsidP="004138DD">
            <w:pPr>
              <w:jc w:val="both"/>
            </w:pPr>
            <w:r>
              <w:t xml:space="preserve">Wliczone w podstawową opłatę abonamentową Aktywacja / dezaktywacja dodatkowych usług, np.: </w:t>
            </w:r>
            <w:r w:rsidR="00FB0F39">
              <w:t xml:space="preserve">wł. / wył. pakietów usług, </w:t>
            </w:r>
            <w:r>
              <w:t xml:space="preserve">wł. / wył. </w:t>
            </w:r>
            <w:proofErr w:type="spellStart"/>
            <w:r>
              <w:t>roamingu</w:t>
            </w:r>
            <w:proofErr w:type="spellEnd"/>
          </w:p>
        </w:tc>
      </w:tr>
      <w:tr w:rsidR="004138DD" w:rsidTr="004138DD">
        <w:tc>
          <w:tcPr>
            <w:tcW w:w="567" w:type="dxa"/>
          </w:tcPr>
          <w:p w:rsidR="004138DD" w:rsidRDefault="003E7B66" w:rsidP="004138DD">
            <w:pPr>
              <w:jc w:val="both"/>
            </w:pPr>
            <w:r>
              <w:t>8</w:t>
            </w:r>
            <w:r w:rsidR="00F379B7">
              <w:t>.</w:t>
            </w:r>
          </w:p>
        </w:tc>
        <w:tc>
          <w:tcPr>
            <w:tcW w:w="3686" w:type="dxa"/>
          </w:tcPr>
          <w:p w:rsidR="004138DD" w:rsidRDefault="00F379B7" w:rsidP="004138DD">
            <w:pPr>
              <w:jc w:val="both"/>
            </w:pPr>
            <w:r>
              <w:t>Koszt aktywacji karty SIM</w:t>
            </w:r>
            <w:r w:rsidR="00000EF7">
              <w:t xml:space="preserve">, </w:t>
            </w:r>
            <w:proofErr w:type="spellStart"/>
            <w:r w:rsidR="00000EF7">
              <w:t>eSIM</w:t>
            </w:r>
            <w:proofErr w:type="spellEnd"/>
          </w:p>
        </w:tc>
        <w:tc>
          <w:tcPr>
            <w:tcW w:w="4105" w:type="dxa"/>
          </w:tcPr>
          <w:p w:rsidR="004138DD" w:rsidRDefault="00F379B7" w:rsidP="004138DD">
            <w:pPr>
              <w:jc w:val="both"/>
            </w:pPr>
            <w:r>
              <w:t>Wliczone w podstawową opłatę abonamentową</w:t>
            </w:r>
          </w:p>
        </w:tc>
      </w:tr>
      <w:tr w:rsidR="004138DD" w:rsidTr="004138DD">
        <w:tc>
          <w:tcPr>
            <w:tcW w:w="567" w:type="dxa"/>
          </w:tcPr>
          <w:p w:rsidR="004138DD" w:rsidRDefault="003E7B66" w:rsidP="004138DD">
            <w:pPr>
              <w:jc w:val="both"/>
            </w:pPr>
            <w:r>
              <w:t>9</w:t>
            </w:r>
            <w:r w:rsidR="00F379B7">
              <w:t>.</w:t>
            </w:r>
          </w:p>
        </w:tc>
        <w:tc>
          <w:tcPr>
            <w:tcW w:w="3686" w:type="dxa"/>
          </w:tcPr>
          <w:p w:rsidR="004138DD" w:rsidRDefault="00F379B7" w:rsidP="00000EF7">
            <w:pPr>
              <w:jc w:val="both"/>
            </w:pPr>
            <w:r>
              <w:t>Koszt wydania i dostarczenia duplikatu karty SIM</w:t>
            </w:r>
            <w:r w:rsidR="00000EF7">
              <w:t xml:space="preserve">, </w:t>
            </w:r>
            <w:proofErr w:type="spellStart"/>
            <w:r w:rsidR="00000EF7">
              <w:t>eSIM</w:t>
            </w:r>
            <w:proofErr w:type="spellEnd"/>
            <w:r>
              <w:t xml:space="preserve"> </w:t>
            </w:r>
          </w:p>
        </w:tc>
        <w:tc>
          <w:tcPr>
            <w:tcW w:w="4105" w:type="dxa"/>
          </w:tcPr>
          <w:p w:rsidR="004138DD" w:rsidRDefault="00F379B7" w:rsidP="004138DD">
            <w:pPr>
              <w:jc w:val="both"/>
            </w:pPr>
            <w:r>
              <w:t>Wliczone w podstawową opłatę abonamentową</w:t>
            </w:r>
          </w:p>
        </w:tc>
      </w:tr>
      <w:tr w:rsidR="004138DD" w:rsidTr="004138DD">
        <w:tc>
          <w:tcPr>
            <w:tcW w:w="567" w:type="dxa"/>
          </w:tcPr>
          <w:p w:rsidR="004138DD" w:rsidRDefault="003E7B66" w:rsidP="004138DD">
            <w:pPr>
              <w:jc w:val="both"/>
            </w:pPr>
            <w:r>
              <w:t>10</w:t>
            </w:r>
            <w:r w:rsidR="00F379B7">
              <w:t>.</w:t>
            </w:r>
          </w:p>
        </w:tc>
        <w:tc>
          <w:tcPr>
            <w:tcW w:w="3686" w:type="dxa"/>
          </w:tcPr>
          <w:p w:rsidR="004138DD" w:rsidRDefault="00F379B7" w:rsidP="004138DD">
            <w:pPr>
              <w:jc w:val="both"/>
            </w:pPr>
            <w:r>
              <w:t>Dodatkowe aktywne funkcje i możliwości (wliczone w podstawową opłatę abonamentową)</w:t>
            </w:r>
          </w:p>
        </w:tc>
        <w:tc>
          <w:tcPr>
            <w:tcW w:w="4105" w:type="dxa"/>
          </w:tcPr>
          <w:p w:rsidR="004138DD" w:rsidRDefault="00F379B7" w:rsidP="000F2677">
            <w:pPr>
              <w:jc w:val="both"/>
            </w:pPr>
            <w:r>
              <w:t xml:space="preserve">Zamawiający dopuszcza wprowadzenie zmiany czasu trwania cyklu rozliczeniowego pod warunkiem zachowania przez Wykonawcę ciągłości dostawy usługi Blokada komunikacji głosowej oraz MMS i SMS oraz </w:t>
            </w:r>
            <w:proofErr w:type="spellStart"/>
            <w:r>
              <w:t>roamingu</w:t>
            </w:r>
            <w:proofErr w:type="spellEnd"/>
          </w:p>
        </w:tc>
      </w:tr>
      <w:tr w:rsidR="00F379B7" w:rsidTr="004138DD">
        <w:tc>
          <w:tcPr>
            <w:tcW w:w="567" w:type="dxa"/>
          </w:tcPr>
          <w:p w:rsidR="00F379B7" w:rsidRDefault="003E7B66" w:rsidP="004138DD">
            <w:pPr>
              <w:jc w:val="both"/>
            </w:pPr>
            <w:r>
              <w:t>11.</w:t>
            </w:r>
          </w:p>
        </w:tc>
        <w:tc>
          <w:tcPr>
            <w:tcW w:w="3686" w:type="dxa"/>
          </w:tcPr>
          <w:p w:rsidR="00F379B7" w:rsidRDefault="00BC6001" w:rsidP="004138DD">
            <w:pPr>
              <w:jc w:val="both"/>
            </w:pPr>
            <w:r>
              <w:t>Zasady dot. świadczenia usług transmisji danych na terenie UE (po wyczerpaniu pakietu, jeśli usługa ta została wcześniej aktywowana przez Zamawiającego)</w:t>
            </w:r>
          </w:p>
        </w:tc>
        <w:tc>
          <w:tcPr>
            <w:tcW w:w="4105" w:type="dxa"/>
          </w:tcPr>
          <w:p w:rsidR="00F379B7" w:rsidRDefault="00BC6001" w:rsidP="0024013F">
            <w:pPr>
              <w:jc w:val="both"/>
            </w:pPr>
            <w:r>
              <w:t xml:space="preserve">Zamawiający wymaga, aby zasady świadczenia usług transmisji danych na terenie UE były zgodnie z Rozporządzeniem Parlamentu Europejskiego i Rady (UE) nr 531/2012 z dnia 13 czerwca 2012 r. w sprawie </w:t>
            </w:r>
            <w:proofErr w:type="spellStart"/>
            <w:r>
              <w:t>roamingu</w:t>
            </w:r>
            <w:proofErr w:type="spellEnd"/>
            <w:r>
              <w:t xml:space="preserve"> w publicznych sieciach łączności ruchomej wewnątrz Unii, w państwach Unii Europejskiej oraz Europejskiego Obszaru Gospodarczego lub kolejnych regulac</w:t>
            </w:r>
            <w:r w:rsidR="00FB0F39">
              <w:t xml:space="preserve">ji obowiązujących na terenie UE. </w:t>
            </w:r>
            <w:r>
              <w:t>W przypadku, gdy Parlament Europejski wyda w tym obszarze przepisy zmieniające wówczas Zamawiający wymaga, aby usługi były świadczone zgodnie ze znowelizowanymi unormowaniami Zamawiający wymaga, aby na każdy</w:t>
            </w:r>
            <w:r w:rsidR="0024013F">
              <w:t>m numerze abonenckim była możliwość ustawienia</w:t>
            </w:r>
            <w:r>
              <w:t xml:space="preserve"> limit</w:t>
            </w:r>
            <w:r w:rsidR="0024013F">
              <w:t>u</w:t>
            </w:r>
            <w:r>
              <w:t xml:space="preserve"> wydatków na usługę transmisję danych w </w:t>
            </w:r>
            <w:proofErr w:type="spellStart"/>
            <w:r>
              <w:t>roamingu</w:t>
            </w:r>
            <w:proofErr w:type="spellEnd"/>
            <w:r>
              <w:t xml:space="preserve">, Zamawiający wymaga, aby na wskazanym przez niego numerze abonenckim, w dowolnym momencie obowiązywania danego okresu rozliczeniowego możliwe było natychmiastowe podwyższenie limitu wydatków na usługę transmisji danych w </w:t>
            </w:r>
            <w:proofErr w:type="spellStart"/>
            <w:r>
              <w:t>roamingu</w:t>
            </w:r>
            <w:proofErr w:type="spellEnd"/>
            <w:r>
              <w:t xml:space="preserve">, o dowolną wartość określoną przez Zamawiającego, tzw. </w:t>
            </w:r>
            <w:r w:rsidR="00FB0F39">
              <w:t>doładowanie.</w:t>
            </w:r>
          </w:p>
        </w:tc>
      </w:tr>
    </w:tbl>
    <w:p w:rsidR="00970666" w:rsidRDefault="00970666" w:rsidP="00970666">
      <w:pPr>
        <w:pStyle w:val="Akapitzlist"/>
        <w:jc w:val="both"/>
      </w:pPr>
    </w:p>
    <w:p w:rsidR="001F0042" w:rsidRDefault="001F0042"/>
    <w:p w:rsidR="003E7B66" w:rsidRDefault="003E7B66" w:rsidP="003E7B66">
      <w:pPr>
        <w:pStyle w:val="Akapitzlist"/>
        <w:jc w:val="both"/>
      </w:pPr>
      <w:r>
        <w:t xml:space="preserve">TABELA NR 4: PAKIET 2 </w:t>
      </w:r>
    </w:p>
    <w:p w:rsidR="003E7B66" w:rsidRDefault="003E7B66" w:rsidP="00970666">
      <w:pPr>
        <w:pStyle w:val="Akapitzlist"/>
        <w:jc w:val="both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686"/>
        <w:gridCol w:w="4105"/>
      </w:tblGrid>
      <w:tr w:rsidR="003E7B66" w:rsidTr="003E270F">
        <w:tc>
          <w:tcPr>
            <w:tcW w:w="8358" w:type="dxa"/>
            <w:gridSpan w:val="3"/>
          </w:tcPr>
          <w:p w:rsidR="003E7B66" w:rsidRDefault="003E7B66" w:rsidP="003E270F">
            <w:pPr>
              <w:jc w:val="center"/>
            </w:pPr>
            <w:r>
              <w:t>PAKIET 2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Lp.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Specyfikacja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>Wymagania Zamawiającego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Podstawowa opłata abonamentowa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 xml:space="preserve">Jednolita dla wszystkich numerów abonenckich w sieci telekomunikacyjnej </w:t>
            </w:r>
            <w:r>
              <w:lastRenderedPageBreak/>
              <w:t>Wykonawcy Po wykorzystaniu pakietu prędkość transferu może być ograniczona do minimum 16kbit/s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lastRenderedPageBreak/>
              <w:t>2.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Podstawowy pakiet min.</w:t>
            </w:r>
            <w:r w:rsidRPr="00FB0F39">
              <w:t xml:space="preserve"> 100 </w:t>
            </w:r>
            <w:r>
              <w:t>GB na konto na terenie Polski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>Jednorazowa opłata abonamentowa - cenę pakietu Wykonawca poda w Ofercie Po wyczerpaniu 95% pakietu prędkość transferu może ulec zmniejszeniu, natomiast Zamawiający z tego tytułu nie poniesie dodatkowych kosztów za dalszą transmisję danych na terenie Polski Prędkość transferu może być ograniczona do minimum 16kbit/s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 xml:space="preserve">Miesięczny pakiet do transferu danych w </w:t>
            </w:r>
            <w:proofErr w:type="spellStart"/>
            <w:r>
              <w:t>roamingu</w:t>
            </w:r>
            <w:proofErr w:type="spellEnd"/>
            <w:r>
              <w:t xml:space="preserve"> o wielkości co najmniej </w:t>
            </w:r>
            <w:r w:rsidRPr="00FB0F39">
              <w:t>80</w:t>
            </w:r>
            <w:r>
              <w:t xml:space="preserve"> GB w UE</w:t>
            </w:r>
          </w:p>
        </w:tc>
        <w:tc>
          <w:tcPr>
            <w:tcW w:w="4105" w:type="dxa"/>
          </w:tcPr>
          <w:p w:rsidR="003E7B66" w:rsidRDefault="00000EF7" w:rsidP="003E270F">
            <w:pPr>
              <w:jc w:val="both"/>
            </w:pPr>
            <w:r>
              <w:t>Wliczony w koszt podstawowej opłaty abonamentowej. Wykonawca umożliwi  zwiększenie pakietu w przypadku jego wyczerpania zgodnie z cennikiem Wykonawcy.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4.</w:t>
            </w:r>
          </w:p>
        </w:tc>
        <w:tc>
          <w:tcPr>
            <w:tcW w:w="3686" w:type="dxa"/>
          </w:tcPr>
          <w:p w:rsidR="003E7B66" w:rsidRDefault="003E7B66" w:rsidP="00000EF7">
            <w:pPr>
              <w:jc w:val="both"/>
            </w:pPr>
            <w:r>
              <w:t>Miesięczny pakie</w:t>
            </w:r>
            <w:r w:rsidR="00000EF7">
              <w:t xml:space="preserve">t transferu danych w </w:t>
            </w:r>
            <w:proofErr w:type="spellStart"/>
            <w:r w:rsidR="00000EF7">
              <w:t>roamingu</w:t>
            </w:r>
            <w:proofErr w:type="spellEnd"/>
            <w:r>
              <w:t xml:space="preserve"> poza UE</w:t>
            </w:r>
          </w:p>
        </w:tc>
        <w:tc>
          <w:tcPr>
            <w:tcW w:w="4105" w:type="dxa"/>
          </w:tcPr>
          <w:p w:rsidR="003E7B66" w:rsidRDefault="006564FA" w:rsidP="003E270F">
            <w:pPr>
              <w:jc w:val="both"/>
            </w:pPr>
            <w:r>
              <w:t>Jednorazowa opłata zgodna z cennikiem Wykonawcy. Wymagana dostępność pakietu od momentu jego aktywacji, ewentualnie najpóźniej od północy w dniu zgłoszenia. Wykonawca umożliwi  zwiększenie pakietu w przypadku jego wyczerpania.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5.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Dostęp do technologii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>DC-,HSPA+, HSPA+, UMTS EDGE/ GPRS/ LTE,  5G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6.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Taryfikacja (na terenie Polski)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 xml:space="preserve">Maksymalnie co każde rozpoczęte 10 </w:t>
            </w:r>
            <w:proofErr w:type="spellStart"/>
            <w:r>
              <w:t>kB</w:t>
            </w:r>
            <w:proofErr w:type="spellEnd"/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7.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Koszt aktywacji / dezaktywacji usług / pakietów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 xml:space="preserve">Wliczone w podstawową opłatę abonamentową Aktywacja / dezaktywacja dodatkowych usług, np.: </w:t>
            </w:r>
            <w:r w:rsidR="00FB0F39">
              <w:t xml:space="preserve">wł. / wył. pakietów usług, </w:t>
            </w:r>
            <w:r>
              <w:t xml:space="preserve">wł. / wył. </w:t>
            </w:r>
            <w:proofErr w:type="spellStart"/>
            <w:r>
              <w:t>roamingu</w:t>
            </w:r>
            <w:proofErr w:type="spellEnd"/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8.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Koszt aktywacji karty SIM</w:t>
            </w:r>
            <w:r w:rsidR="00000EF7">
              <w:t xml:space="preserve">, </w:t>
            </w:r>
            <w:proofErr w:type="spellStart"/>
            <w:r w:rsidR="00000EF7">
              <w:t>eSIM</w:t>
            </w:r>
            <w:proofErr w:type="spellEnd"/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>Wliczone w podstawową opłatę abonamentową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9.</w:t>
            </w:r>
          </w:p>
        </w:tc>
        <w:tc>
          <w:tcPr>
            <w:tcW w:w="3686" w:type="dxa"/>
          </w:tcPr>
          <w:p w:rsidR="003E7B66" w:rsidRDefault="003E7B66" w:rsidP="00000EF7">
            <w:pPr>
              <w:jc w:val="both"/>
            </w:pPr>
            <w:r>
              <w:t>Koszt wydania i dostarczenia duplikatu karty SIM</w:t>
            </w:r>
            <w:r w:rsidR="00000EF7">
              <w:t xml:space="preserve">, </w:t>
            </w:r>
            <w:proofErr w:type="spellStart"/>
            <w:r w:rsidR="00000EF7">
              <w:t>eSIM</w:t>
            </w:r>
            <w:proofErr w:type="spellEnd"/>
            <w:r>
              <w:t xml:space="preserve"> 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>Wliczone w podstawową opłatę abonamentową</w:t>
            </w:r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10.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Dodatkowe aktywne funkcje i możliwości (wliczone w podstawową opłatę abonamentową)</w:t>
            </w:r>
          </w:p>
        </w:tc>
        <w:tc>
          <w:tcPr>
            <w:tcW w:w="4105" w:type="dxa"/>
          </w:tcPr>
          <w:p w:rsidR="003E7B66" w:rsidRDefault="003E7B66" w:rsidP="000F2677">
            <w:pPr>
              <w:jc w:val="both"/>
            </w:pPr>
            <w:r>
              <w:t xml:space="preserve">Zamawiający dopuszcza wprowadzenie zmiany czasu trwania cyklu rozliczeniowego pod warunkiem zachowania przez Wykonawcę ciągłości dostawy usługi Blokada komunikacji głosowej oraz MMS i SMS oraz </w:t>
            </w:r>
            <w:proofErr w:type="spellStart"/>
            <w:r>
              <w:t>roamingu</w:t>
            </w:r>
            <w:proofErr w:type="spellEnd"/>
          </w:p>
        </w:tc>
      </w:tr>
      <w:tr w:rsidR="003E7B66" w:rsidTr="003E270F">
        <w:tc>
          <w:tcPr>
            <w:tcW w:w="567" w:type="dxa"/>
          </w:tcPr>
          <w:p w:rsidR="003E7B66" w:rsidRDefault="003E7B66" w:rsidP="003E270F">
            <w:pPr>
              <w:jc w:val="both"/>
            </w:pPr>
            <w:r>
              <w:t>11.</w:t>
            </w:r>
          </w:p>
        </w:tc>
        <w:tc>
          <w:tcPr>
            <w:tcW w:w="3686" w:type="dxa"/>
          </w:tcPr>
          <w:p w:rsidR="003E7B66" w:rsidRDefault="003E7B66" w:rsidP="003E270F">
            <w:pPr>
              <w:jc w:val="both"/>
            </w:pPr>
            <w:r>
              <w:t>Zasady dot. świadczenia usług transmisji danych na terenie UE (po wyczerpaniu pakietu, jeśli usługa ta została wcześniej aktywowana przez Zamawiającego)</w:t>
            </w:r>
          </w:p>
        </w:tc>
        <w:tc>
          <w:tcPr>
            <w:tcW w:w="4105" w:type="dxa"/>
          </w:tcPr>
          <w:p w:rsidR="003E7B66" w:rsidRDefault="003E7B66" w:rsidP="003E270F">
            <w:pPr>
              <w:jc w:val="both"/>
            </w:pPr>
            <w:r>
              <w:t xml:space="preserve">Zamawiający wymaga, aby zasady świadczenia usług transmisji danych na terenie UE były zgodnie z Rozporządzeniem Parlamentu Europejskiego i Rady (UE) nr 531/2012 z dnia 13 czerwca 2012 r. w sprawie </w:t>
            </w:r>
            <w:proofErr w:type="spellStart"/>
            <w:r>
              <w:t>roamingu</w:t>
            </w:r>
            <w:proofErr w:type="spellEnd"/>
            <w:r>
              <w:t xml:space="preserve"> w publicznych sieciach łączności ruchomej wewnątrz Unii, w państwach Unii Europejskiej oraz Europejskiego Obszaru Gospodarczego lub kolejnych regulac</w:t>
            </w:r>
            <w:r w:rsidR="00FB0F39">
              <w:t xml:space="preserve">ji obowiązujących na terenie UE. </w:t>
            </w:r>
            <w:r>
              <w:t xml:space="preserve">W przypadku, gdy Parlament Europejski wyda w tym obszarze przepisy zmieniające wówczas Zamawiający wymaga, aby usługi były świadczone zgodnie ze znowelizowanymi unormowaniami </w:t>
            </w:r>
            <w:r w:rsidR="0024013F">
              <w:t xml:space="preserve">Zamawiający wymaga, aby na każdym numerze abonenckim była </w:t>
            </w:r>
            <w:r w:rsidR="0024013F">
              <w:lastRenderedPageBreak/>
              <w:t xml:space="preserve">możliwość ustawienia limitu wydatków na usługę transmisję danych w </w:t>
            </w:r>
            <w:proofErr w:type="spellStart"/>
            <w:r w:rsidR="0024013F">
              <w:t>roamingu</w:t>
            </w:r>
            <w:proofErr w:type="spellEnd"/>
            <w:r w:rsidR="0024013F">
              <w:t>,</w:t>
            </w:r>
            <w:r>
              <w:t xml:space="preserve"> Zamawiający wymaga, aby na wskazanym przez niego numerze abonenckim, w dowolnym momencie obowiązywania danego okresu rozliczeniowego możliwe było natychmiastowe podwyższenie limitu wydatków na usługę transmisji danych w </w:t>
            </w:r>
            <w:proofErr w:type="spellStart"/>
            <w:r>
              <w:t>roamingu</w:t>
            </w:r>
            <w:proofErr w:type="spellEnd"/>
            <w:r>
              <w:t xml:space="preserve">, o dowolną wartość określoną przez Zamawiającego, tzw. </w:t>
            </w:r>
            <w:r w:rsidR="00FB0F39">
              <w:t>doładowanie.</w:t>
            </w:r>
          </w:p>
        </w:tc>
      </w:tr>
    </w:tbl>
    <w:p w:rsidR="003E7B66" w:rsidRDefault="003E7B66" w:rsidP="00FB0F39">
      <w:pPr>
        <w:jc w:val="both"/>
      </w:pPr>
    </w:p>
    <w:p w:rsidR="003E7B66" w:rsidRDefault="003E7B66" w:rsidP="00970666">
      <w:pPr>
        <w:pStyle w:val="Akapitzlist"/>
        <w:jc w:val="both"/>
      </w:pPr>
    </w:p>
    <w:p w:rsidR="0022363B" w:rsidRPr="001F0042" w:rsidRDefault="0022363B" w:rsidP="0022363B">
      <w:pPr>
        <w:pStyle w:val="Akapitzlist"/>
        <w:numPr>
          <w:ilvl w:val="0"/>
          <w:numId w:val="2"/>
        </w:numPr>
        <w:jc w:val="both"/>
        <w:rPr>
          <w:b/>
        </w:rPr>
      </w:pPr>
      <w:r w:rsidRPr="001F0042">
        <w:rPr>
          <w:b/>
        </w:rPr>
        <w:t>WYMAGANIA DOTYCZĄCE BIEŻĄCEJ OBSŁUGI ZAMAWIAJĄCEGO</w:t>
      </w:r>
    </w:p>
    <w:p w:rsidR="0022363B" w:rsidRDefault="0022363B" w:rsidP="0022363B">
      <w:pPr>
        <w:pStyle w:val="Akapitzlist"/>
        <w:numPr>
          <w:ilvl w:val="1"/>
          <w:numId w:val="2"/>
        </w:numPr>
        <w:jc w:val="both"/>
      </w:pPr>
      <w:r>
        <w:t>Wykonawca przez cały okres obowiązywania Umowy udostępni nieodpłatnie kanał e</w:t>
      </w:r>
      <w:r w:rsidR="00FB0F39">
        <w:t>-</w:t>
      </w:r>
      <w:r>
        <w:t>mailowy oraz telefoniczny do obsługi Zamawiającego (obsługa w języku polskim, dostępność 24/7/365), w tym dedykowanego opiekuna Umowy, który w dniach roboczych będzie dostępny co najmniej w godzinach 8:00-16:00.</w:t>
      </w:r>
    </w:p>
    <w:p w:rsidR="0022363B" w:rsidRDefault="0022363B" w:rsidP="0022363B">
      <w:pPr>
        <w:pStyle w:val="Akapitzlist"/>
        <w:numPr>
          <w:ilvl w:val="1"/>
          <w:numId w:val="2"/>
        </w:numPr>
        <w:jc w:val="both"/>
      </w:pPr>
      <w:r>
        <w:t xml:space="preserve">Pracownicy Wykonawcy (tzw. Biuro Obsługi Klienta) będą stanowić wsparcie dla osób wytypowanych przez Zamawiającego w zakresie udzielania informacji na temat standardowo obowiązujących cenników czy zagadnień technicznych, a w razie potrzeby aktywacji podstawowych usług, takich jak </w:t>
      </w:r>
      <w:proofErr w:type="spellStart"/>
      <w:r>
        <w:t>roaming</w:t>
      </w:r>
      <w:proofErr w:type="spellEnd"/>
      <w:r>
        <w:t>, pa</w:t>
      </w:r>
      <w:r w:rsidR="003E7B66">
        <w:t>kiety do transmisji danych na</w:t>
      </w:r>
      <w:r>
        <w:t xml:space="preserve"> terenie Polski oraz w </w:t>
      </w:r>
      <w:proofErr w:type="spellStart"/>
      <w:r>
        <w:t>roamingu</w:t>
      </w:r>
      <w:proofErr w:type="spellEnd"/>
      <w:r>
        <w:t xml:space="preserve"> - po uprzedniej weryfikacji rozmówcy (poprzez podanie hasła dostępu do konta).</w:t>
      </w:r>
    </w:p>
    <w:p w:rsidR="001F646F" w:rsidRDefault="0022363B" w:rsidP="001F646F">
      <w:pPr>
        <w:pStyle w:val="Akapitzlist"/>
        <w:numPr>
          <w:ilvl w:val="1"/>
          <w:numId w:val="2"/>
        </w:numPr>
        <w:jc w:val="both"/>
      </w:pPr>
      <w:r>
        <w:t>Pracownicy Wykonawcy (tzw. Biuro Obsługi Klienta) będą stanowić również wsparcie dla poszczególnych użytkowników aktywacji należących do Zamawiającego, działających w sieci telekomunikacyjnej Wykonawcy, m.in. w zakresie udzielania informacji na temat standardowo obowiązujących cenników czy zagadnień technicznych (bez możliwości aktywacji usług).</w:t>
      </w:r>
    </w:p>
    <w:p w:rsidR="0022363B" w:rsidRDefault="0022363B" w:rsidP="0022363B">
      <w:pPr>
        <w:pStyle w:val="Akapitzlist"/>
        <w:numPr>
          <w:ilvl w:val="1"/>
          <w:numId w:val="2"/>
        </w:numPr>
        <w:jc w:val="both"/>
      </w:pPr>
      <w:r>
        <w:t xml:space="preserve">Zamawiający </w:t>
      </w:r>
      <w:r w:rsidR="00900D71">
        <w:t>wymaga aby</w:t>
      </w:r>
      <w:r>
        <w:t xml:space="preserve"> informacje na temat zagadnień rachunkowych (szczegóły dot. bilingu, faktur, płatności) udzielane będą wyłączenie osobom upoważnionym po stronie Zamawiającego.</w:t>
      </w:r>
    </w:p>
    <w:p w:rsidR="0022363B" w:rsidRDefault="0022363B" w:rsidP="0022363B">
      <w:pPr>
        <w:pStyle w:val="Akapitzlist"/>
        <w:numPr>
          <w:ilvl w:val="1"/>
          <w:numId w:val="2"/>
        </w:numPr>
        <w:jc w:val="both"/>
      </w:pPr>
      <w:r>
        <w:t xml:space="preserve">Wykonawca zapewnieni możliwość telefonicznego zlecenia niezwłocznego (w chwili zgłoszenia) założenia blokady karty SIM – 24 godziny na dobę, wyłącznie przez osoby wytypowane przez </w:t>
      </w:r>
      <w:r>
        <w:lastRenderedPageBreak/>
        <w:t>Zamawiającego (każdorazowo weryfikowane przez pracowników Wykonawcy poprzez podanie hasła dostępu do konta) – w zakresie połączeń wychodzących oraz przychodzących.</w:t>
      </w:r>
    </w:p>
    <w:p w:rsidR="0022363B" w:rsidRDefault="0022363B" w:rsidP="0022363B">
      <w:pPr>
        <w:pStyle w:val="Akapitzlist"/>
        <w:numPr>
          <w:ilvl w:val="1"/>
          <w:numId w:val="2"/>
        </w:numPr>
        <w:jc w:val="both"/>
      </w:pPr>
      <w:r>
        <w:t>Wykonawca zobowiązany jest do nieodpłatnego udostępnienia Zamawiającemu, na czas obowiązywania Umowy, Zamawiającemu specjalistycznego systemu (aplikacji internetowej) działającego w trybie on-line, umożliwiającej osobom upoważnionym po stronie Zamawiającego (min. 5 osób) bezpieczne, samodzielne oraz pełne administrowanie zasobami telekomunikacyjnymi i usługami będącymi przedmiotem niniejszego postępowania. System musi umożliwiać wysyłanie potwierdzeń dokonanych w nim zmian poprzez wiadomości e-mail i/lub wiadomości tekstowe SMS.</w:t>
      </w:r>
    </w:p>
    <w:p w:rsidR="0022363B" w:rsidRDefault="0022363B" w:rsidP="0022363B">
      <w:pPr>
        <w:pStyle w:val="Akapitzlist"/>
        <w:numPr>
          <w:ilvl w:val="1"/>
          <w:numId w:val="2"/>
        </w:numPr>
        <w:jc w:val="both"/>
      </w:pPr>
      <w:r>
        <w:t xml:space="preserve">Zamawiający wymaga, aby aplikacja internetowa była kompatybilna z następującymi przeglądarkami </w:t>
      </w:r>
      <w:r w:rsidR="009C1449">
        <w:t>internetowymi: Chrome</w:t>
      </w:r>
      <w:r>
        <w:t xml:space="preserve">, </w:t>
      </w:r>
      <w:proofErr w:type="spellStart"/>
      <w:r>
        <w:t>Firefox</w:t>
      </w:r>
      <w:proofErr w:type="spellEnd"/>
      <w:r w:rsidR="009C1449">
        <w:t>, Edge</w:t>
      </w:r>
      <w:r>
        <w:t>.</w:t>
      </w:r>
    </w:p>
    <w:p w:rsidR="001F646F" w:rsidRDefault="0022363B" w:rsidP="001F646F">
      <w:pPr>
        <w:pStyle w:val="Akapitzlist"/>
        <w:numPr>
          <w:ilvl w:val="1"/>
          <w:numId w:val="2"/>
        </w:numPr>
        <w:jc w:val="both"/>
      </w:pPr>
      <w:r>
        <w:t>Zamawiający oczekuje, że aplikacja internetowa posiadać będzie następujące funkcjonalności:</w:t>
      </w:r>
    </w:p>
    <w:p w:rsidR="0022363B" w:rsidRDefault="0022363B" w:rsidP="0022363B">
      <w:pPr>
        <w:pStyle w:val="Akapitzlist"/>
        <w:numPr>
          <w:ilvl w:val="2"/>
          <w:numId w:val="2"/>
        </w:numPr>
        <w:jc w:val="both"/>
      </w:pPr>
      <w:r>
        <w:t xml:space="preserve"> możliwość utworzenia minimum 5-ciu kont dla administratorów, tj. osób upoważnionych po stronie Zamawiającego,</w:t>
      </w:r>
    </w:p>
    <w:p w:rsidR="0022363B" w:rsidRDefault="0022363B" w:rsidP="0022363B">
      <w:pPr>
        <w:pStyle w:val="Akapitzlist"/>
        <w:numPr>
          <w:ilvl w:val="2"/>
          <w:numId w:val="2"/>
        </w:numPr>
        <w:jc w:val="both"/>
      </w:pPr>
      <w:r>
        <w:t>każdy administrator będzie logował się indywidualnym loginem,</w:t>
      </w:r>
    </w:p>
    <w:p w:rsidR="0022363B" w:rsidRDefault="0022363B" w:rsidP="0022363B">
      <w:pPr>
        <w:pStyle w:val="Akapitzlist"/>
        <w:numPr>
          <w:ilvl w:val="2"/>
          <w:numId w:val="2"/>
        </w:numPr>
        <w:jc w:val="both"/>
      </w:pPr>
      <w:r>
        <w:t>połączenia do aplikacji internetowej będą realizowane za pomocą szyfrowanego protokołu (HTTPS),</w:t>
      </w:r>
    </w:p>
    <w:p w:rsidR="0022363B" w:rsidRDefault="0022363B" w:rsidP="0022363B">
      <w:pPr>
        <w:pStyle w:val="Akapitzlist"/>
        <w:numPr>
          <w:ilvl w:val="2"/>
          <w:numId w:val="2"/>
        </w:numPr>
        <w:jc w:val="both"/>
      </w:pPr>
      <w:r>
        <w:t>każdy z administratorów będzie mógł ustalić swoje hasło do systemu i w dowolnym momencie je zmieniać.</w:t>
      </w:r>
    </w:p>
    <w:p w:rsidR="0022363B" w:rsidRDefault="0022363B" w:rsidP="0022363B">
      <w:pPr>
        <w:pStyle w:val="Akapitzlist"/>
        <w:numPr>
          <w:ilvl w:val="2"/>
          <w:numId w:val="2"/>
        </w:numPr>
        <w:jc w:val="both"/>
      </w:pPr>
      <w:r>
        <w:t>każdy z administratorów będzie mógł samodzielnie aktywować / dezaktywować usługi objęte Umową, a w nielicznych przypadkach poprzez Biuro Obsługi Klienta, w szczególności:</w:t>
      </w:r>
    </w:p>
    <w:p w:rsidR="0022363B" w:rsidRDefault="0022363B" w:rsidP="0022363B">
      <w:pPr>
        <w:pStyle w:val="Akapitzlist"/>
        <w:numPr>
          <w:ilvl w:val="3"/>
          <w:numId w:val="2"/>
        </w:numPr>
        <w:jc w:val="both"/>
      </w:pPr>
      <w:proofErr w:type="spellStart"/>
      <w:r>
        <w:t>roamingu</w:t>
      </w:r>
      <w:proofErr w:type="spellEnd"/>
      <w:r>
        <w:t>,</w:t>
      </w:r>
    </w:p>
    <w:p w:rsidR="0022363B" w:rsidRDefault="0022363B" w:rsidP="0022363B">
      <w:pPr>
        <w:pStyle w:val="Akapitzlist"/>
        <w:numPr>
          <w:ilvl w:val="3"/>
          <w:numId w:val="2"/>
        </w:numPr>
        <w:jc w:val="both"/>
      </w:pPr>
      <w:r>
        <w:t>CLIP/CLIR,</w:t>
      </w:r>
    </w:p>
    <w:p w:rsidR="0022363B" w:rsidRDefault="0022363B" w:rsidP="0022363B">
      <w:pPr>
        <w:pStyle w:val="Akapitzlist"/>
        <w:numPr>
          <w:ilvl w:val="3"/>
          <w:numId w:val="2"/>
        </w:numPr>
        <w:jc w:val="both"/>
      </w:pPr>
      <w:r>
        <w:t>poczty głosowej, w tym przywrócenie jej standardowych ustawień,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t>pakietowej transmisji danych,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t xml:space="preserve">pakietów </w:t>
      </w:r>
      <w:proofErr w:type="spellStart"/>
      <w:r>
        <w:t>roamingowych</w:t>
      </w:r>
      <w:proofErr w:type="spellEnd"/>
      <w:r>
        <w:t>,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t>dodatkowych pakietów internetowych,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t>blokowania i odblokowania połączeń Premium,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t>blokady odbierania na koszt abonenta,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lastRenderedPageBreak/>
        <w:t>blokowania i odblokowania kart SIM,</w:t>
      </w:r>
    </w:p>
    <w:p w:rsidR="0022363B" w:rsidRDefault="00C604CB" w:rsidP="0030149B">
      <w:pPr>
        <w:pStyle w:val="Akapitzlist"/>
        <w:numPr>
          <w:ilvl w:val="3"/>
          <w:numId w:val="2"/>
        </w:numPr>
        <w:jc w:val="both"/>
      </w:pPr>
      <w:r>
        <w:t>aktywacji duplikatu kary SIM,</w:t>
      </w:r>
    </w:p>
    <w:p w:rsidR="0022363B" w:rsidRDefault="0022363B" w:rsidP="0030149B">
      <w:pPr>
        <w:pStyle w:val="Akapitzlist"/>
        <w:numPr>
          <w:ilvl w:val="2"/>
          <w:numId w:val="2"/>
        </w:numPr>
        <w:jc w:val="both"/>
      </w:pPr>
      <w:r>
        <w:t>każdy z administratorów będzie również mógł m.in:</w:t>
      </w:r>
    </w:p>
    <w:p w:rsidR="0022363B" w:rsidRDefault="0022363B" w:rsidP="0030149B">
      <w:pPr>
        <w:pStyle w:val="Akapitzlist"/>
        <w:numPr>
          <w:ilvl w:val="3"/>
          <w:numId w:val="2"/>
        </w:numPr>
        <w:jc w:val="both"/>
      </w:pPr>
      <w:r>
        <w:t>sprawdzić aktualną ilość uruchomionych aktywacji głosowych,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>sprawdzić stan wykorzystania usług i pakietów na poszczególnych aktywacjach,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 xml:space="preserve"> monitorować saldo dla konta,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 xml:space="preserve"> sprawdzić koszty wygenerowane na poszczególnych aktywacjach,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 xml:space="preserve"> pobrać biling za dowolny miniony miesiąc (np. w postaci pliku CSV lub Excel) dla pojedynczego numeru abonenckiego oraz dla wszystkich numerów,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>pobrać faktury za dowolny okres rozliczeniowy objęty Umową oraz wraz ze szczegółowym rozliczeniem na poszczególne aktywacje</w:t>
      </w:r>
      <w:r w:rsidR="00C604CB">
        <w:t>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>sprawdzić stan włączonych usług,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>masowo zarządzać usługami i przeglądać historie wprowadzanych zmian,</w:t>
      </w:r>
    </w:p>
    <w:p w:rsidR="0030149B" w:rsidRDefault="0030149B" w:rsidP="0030149B">
      <w:pPr>
        <w:pStyle w:val="Akapitzlist"/>
        <w:numPr>
          <w:ilvl w:val="3"/>
          <w:numId w:val="2"/>
        </w:numPr>
        <w:jc w:val="both"/>
      </w:pPr>
      <w:r>
        <w:t xml:space="preserve">sprawdzić stan wykorzystania aktywowanego pakietu </w:t>
      </w:r>
      <w:proofErr w:type="spellStart"/>
      <w:r>
        <w:t>roamingowego</w:t>
      </w:r>
      <w:proofErr w:type="spellEnd"/>
      <w:r>
        <w:t xml:space="preserve"> w dowolnym zakresie dat.</w:t>
      </w:r>
    </w:p>
    <w:p w:rsidR="0030149B" w:rsidRDefault="0030149B" w:rsidP="0030149B">
      <w:pPr>
        <w:pStyle w:val="Akapitzlist"/>
        <w:numPr>
          <w:ilvl w:val="1"/>
          <w:numId w:val="2"/>
        </w:numPr>
        <w:jc w:val="both"/>
      </w:pPr>
      <w:r>
        <w:t xml:space="preserve"> Za każdy okres rozliczeniowy Wykonawca będzie sporządzał i dostarczał Zamawiającemu w formie elektronicznej szczegółowe wykazy połączeń (billingi), uwzględniające wszystkie wykorzystane usługi w danym cyklu rozliczeniowym, w rozbiciu na poszczególne numery abonenckie.</w:t>
      </w:r>
    </w:p>
    <w:p w:rsidR="0030149B" w:rsidRDefault="0030149B" w:rsidP="0030149B">
      <w:pPr>
        <w:pStyle w:val="Akapitzlist"/>
        <w:numPr>
          <w:ilvl w:val="1"/>
          <w:numId w:val="2"/>
        </w:numPr>
        <w:ind w:left="709" w:hanging="425"/>
        <w:jc w:val="both"/>
      </w:pPr>
      <w:r>
        <w:t>Bilingi udostępniane będą Zamawiającemu równolegle wraz z wysłaniem Zamawiającemu Faktury VAT za usługi telekomunikacyjne świadczona na podstawie zawartej Umowy i stanowić one będą podstawę do rozliczania Faktury oraz ustalenia czy opłaty za usługi telekomunikacyjne naliczone zostały zgodnie z zawartą Umową.</w:t>
      </w:r>
    </w:p>
    <w:p w:rsidR="005C74F2" w:rsidRDefault="0030149B" w:rsidP="005C74F2">
      <w:pPr>
        <w:pStyle w:val="Akapitzlist"/>
        <w:numPr>
          <w:ilvl w:val="1"/>
          <w:numId w:val="2"/>
        </w:numPr>
        <w:jc w:val="both"/>
      </w:pPr>
      <w:r>
        <w:t>Dostarczane Zamawiającemu szczegółowe wykazy po</w:t>
      </w:r>
      <w:r w:rsidR="005C74F2">
        <w:t xml:space="preserve">łączeń (bilingi) winny zawierać </w:t>
      </w:r>
      <w:r>
        <w:t>m.in. następujące informacje:</w:t>
      </w:r>
    </w:p>
    <w:p w:rsidR="0030149B" w:rsidRDefault="0030149B" w:rsidP="005C74F2">
      <w:pPr>
        <w:pStyle w:val="Akapitzlist"/>
        <w:numPr>
          <w:ilvl w:val="2"/>
          <w:numId w:val="2"/>
        </w:numPr>
        <w:jc w:val="both"/>
      </w:pPr>
      <w:r>
        <w:t>liczba kolejna (numer rekordu),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 xml:space="preserve">data rozpoczęcia rozmowy w formacie: 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 xml:space="preserve">czas rozpoczęcia rozmowy w formacie: </w:t>
      </w:r>
      <w:proofErr w:type="spellStart"/>
      <w:r>
        <w:t>gg:mm:ss</w:t>
      </w:r>
      <w:proofErr w:type="spellEnd"/>
      <w:r>
        <w:t>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 xml:space="preserve">czas trwania połączenia w formacie: </w:t>
      </w:r>
      <w:proofErr w:type="spellStart"/>
      <w:r>
        <w:t>gg:mm:ss</w:t>
      </w:r>
      <w:proofErr w:type="spellEnd"/>
      <w:r>
        <w:t>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lastRenderedPageBreak/>
        <w:t>numer abonenta inicjującego połączenie,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>wybrany numer,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>nazwa wybranego kierunku (do jakiego operatora),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>kraj z którego połączenie było realizowane,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>kraj do którego połączenie było realizowane,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>koszt połączenia netto,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 xml:space="preserve">data rozpoczęcia sesji danych w formacie: 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 xml:space="preserve">czas rozpoczęcia sesji danych w formacie: </w:t>
      </w:r>
      <w:proofErr w:type="spellStart"/>
      <w:r>
        <w:t>gg:mm:ss</w:t>
      </w:r>
      <w:proofErr w:type="spellEnd"/>
      <w:r>
        <w:t>,</w:t>
      </w:r>
    </w:p>
    <w:p w:rsidR="0030149B" w:rsidRDefault="0030149B" w:rsidP="0030149B">
      <w:pPr>
        <w:pStyle w:val="Akapitzlist"/>
        <w:numPr>
          <w:ilvl w:val="2"/>
          <w:numId w:val="2"/>
        </w:numPr>
        <w:jc w:val="both"/>
      </w:pPr>
      <w:r>
        <w:t>ilość danych przesłanych w ramach sesji.</w:t>
      </w:r>
    </w:p>
    <w:p w:rsidR="0030149B" w:rsidRDefault="0030149B" w:rsidP="005C74F2">
      <w:pPr>
        <w:pStyle w:val="Akapitzlist"/>
        <w:numPr>
          <w:ilvl w:val="1"/>
          <w:numId w:val="2"/>
        </w:numPr>
        <w:jc w:val="both"/>
      </w:pPr>
      <w:r>
        <w:t>Dla celów statystycznych i organizacyjnych Zam</w:t>
      </w:r>
      <w:r w:rsidR="005C74F2">
        <w:t xml:space="preserve">awiającego niezbędne jest, aby szczegółowe </w:t>
      </w:r>
      <w:r>
        <w:t>wykazy połączeń obejmowały również wykaz zrealizowanych połączeń bezpłatnych.</w:t>
      </w:r>
    </w:p>
    <w:p w:rsidR="0030149B" w:rsidRDefault="0030149B" w:rsidP="0030149B">
      <w:pPr>
        <w:pStyle w:val="Akapitzlist"/>
        <w:numPr>
          <w:ilvl w:val="1"/>
          <w:numId w:val="2"/>
        </w:numPr>
        <w:jc w:val="both"/>
      </w:pPr>
      <w:r>
        <w:t>Zamawiający wymaga, aby szczegółowe wykazy połączeń (bilingi) były udostępniane online nieodpłatnie, z możliwością ich rekonfiguracji i tworzenia raportów.</w:t>
      </w:r>
    </w:p>
    <w:p w:rsidR="0030149B" w:rsidRDefault="0030149B" w:rsidP="0030149B">
      <w:pPr>
        <w:pStyle w:val="Akapitzlist"/>
        <w:numPr>
          <w:ilvl w:val="1"/>
          <w:numId w:val="2"/>
        </w:numPr>
        <w:jc w:val="both"/>
      </w:pPr>
      <w:r>
        <w:t xml:space="preserve">W przypadku wymogu zapisu danych taryfikacyjnych w nietypowym formacie / programie Wykonawca przekaże Zamawiającemu narzędzie elektroniczne (np. program) </w:t>
      </w:r>
      <w:r w:rsidR="005C74F2">
        <w:t xml:space="preserve">wraz </w:t>
      </w:r>
      <w:r>
        <w:t>z licencjami na jego użytkowanie, tak aby docelowo szczegółowe wykazy połączeń (bilingi) mogły zostać wyeksportowane do pliku typu CSV lub Excel.</w:t>
      </w:r>
    </w:p>
    <w:p w:rsidR="003F6294" w:rsidRPr="003816B9" w:rsidRDefault="0030149B" w:rsidP="003F6294">
      <w:pPr>
        <w:pStyle w:val="Akapitzlist"/>
        <w:numPr>
          <w:ilvl w:val="1"/>
          <w:numId w:val="2"/>
        </w:numPr>
        <w:jc w:val="both"/>
      </w:pPr>
      <w:r>
        <w:t xml:space="preserve">Wykonawca przeprowadzi nieodpłatne szkolenie dla wytypowanych pracowników Zamawiającego (min. 5 osób) w zakresie możliwości </w:t>
      </w:r>
      <w:r w:rsidR="005C74F2">
        <w:t xml:space="preserve">wykorzystywania przekazywanych </w:t>
      </w:r>
      <w:r>
        <w:t>danych billingowych oraz udostępnionych narzędzi e</w:t>
      </w:r>
      <w:r w:rsidR="005C74F2">
        <w:t xml:space="preserve">lektronicznych umożliwiających </w:t>
      </w:r>
      <w:r>
        <w:t>dostęp on-line do konta klienta Zamawiającego. Zamawiający wymaga, aby szk</w:t>
      </w:r>
      <w:r w:rsidR="005C74F2">
        <w:t xml:space="preserve">olenie to </w:t>
      </w:r>
      <w:r>
        <w:t>odbyło się maksymalnie w okresie trzech t</w:t>
      </w:r>
      <w:r w:rsidR="005C74F2">
        <w:t xml:space="preserve">ygodni od dnia zawarcia Umowy. </w:t>
      </w:r>
    </w:p>
    <w:sectPr w:rsidR="003F6294" w:rsidRPr="0038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ACF"/>
    <w:multiLevelType w:val="multilevel"/>
    <w:tmpl w:val="6BD67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C04676"/>
    <w:multiLevelType w:val="hybridMultilevel"/>
    <w:tmpl w:val="CC742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B9"/>
    <w:rsid w:val="00000EF7"/>
    <w:rsid w:val="00043EB9"/>
    <w:rsid w:val="00076173"/>
    <w:rsid w:val="000F2677"/>
    <w:rsid w:val="00100675"/>
    <w:rsid w:val="001440BB"/>
    <w:rsid w:val="00162432"/>
    <w:rsid w:val="001C7232"/>
    <w:rsid w:val="001D4A7B"/>
    <w:rsid w:val="001F0042"/>
    <w:rsid w:val="001F646F"/>
    <w:rsid w:val="00205E26"/>
    <w:rsid w:val="00220542"/>
    <w:rsid w:val="0022363B"/>
    <w:rsid w:val="002334E1"/>
    <w:rsid w:val="0024013F"/>
    <w:rsid w:val="0026401B"/>
    <w:rsid w:val="00276B7D"/>
    <w:rsid w:val="0030149B"/>
    <w:rsid w:val="00320F28"/>
    <w:rsid w:val="00360A50"/>
    <w:rsid w:val="00363AA2"/>
    <w:rsid w:val="00363CE5"/>
    <w:rsid w:val="003816B9"/>
    <w:rsid w:val="003C1752"/>
    <w:rsid w:val="003E7B66"/>
    <w:rsid w:val="003F6294"/>
    <w:rsid w:val="004138DD"/>
    <w:rsid w:val="00453938"/>
    <w:rsid w:val="00484471"/>
    <w:rsid w:val="004A758F"/>
    <w:rsid w:val="004D4A21"/>
    <w:rsid w:val="005C74F2"/>
    <w:rsid w:val="00653262"/>
    <w:rsid w:val="006564FA"/>
    <w:rsid w:val="006B710D"/>
    <w:rsid w:val="00706465"/>
    <w:rsid w:val="00706703"/>
    <w:rsid w:val="00714DAA"/>
    <w:rsid w:val="00715584"/>
    <w:rsid w:val="00784F27"/>
    <w:rsid w:val="008204A0"/>
    <w:rsid w:val="0089186C"/>
    <w:rsid w:val="008D6A0E"/>
    <w:rsid w:val="00900D71"/>
    <w:rsid w:val="00970666"/>
    <w:rsid w:val="00970EB3"/>
    <w:rsid w:val="00983B56"/>
    <w:rsid w:val="00993C9E"/>
    <w:rsid w:val="009A1D4A"/>
    <w:rsid w:val="009C1449"/>
    <w:rsid w:val="009C577D"/>
    <w:rsid w:val="009E37AA"/>
    <w:rsid w:val="00A30BCD"/>
    <w:rsid w:val="00AA7C94"/>
    <w:rsid w:val="00B433F9"/>
    <w:rsid w:val="00BB48B2"/>
    <w:rsid w:val="00BC6001"/>
    <w:rsid w:val="00BD2AFA"/>
    <w:rsid w:val="00BE0424"/>
    <w:rsid w:val="00C369EC"/>
    <w:rsid w:val="00C604CB"/>
    <w:rsid w:val="00C6647A"/>
    <w:rsid w:val="00CD7E28"/>
    <w:rsid w:val="00D91E92"/>
    <w:rsid w:val="00DC1EE2"/>
    <w:rsid w:val="00DD6A6A"/>
    <w:rsid w:val="00E75B30"/>
    <w:rsid w:val="00E777BD"/>
    <w:rsid w:val="00EB4B8A"/>
    <w:rsid w:val="00ED3B04"/>
    <w:rsid w:val="00F379B7"/>
    <w:rsid w:val="00F800D0"/>
    <w:rsid w:val="00F8470D"/>
    <w:rsid w:val="00FA57C3"/>
    <w:rsid w:val="00FB0F39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DFBA-0522-4870-AC7B-4D8EE834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6B9"/>
    <w:pPr>
      <w:ind w:left="720"/>
      <w:contextualSpacing/>
    </w:pPr>
  </w:style>
  <w:style w:type="table" w:styleId="Tabela-Siatka">
    <w:name w:val="Table Grid"/>
    <w:basedOn w:val="Standardowy"/>
    <w:uiPriority w:val="39"/>
    <w:rsid w:val="003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4499</Words>
  <Characters>27000</Characters>
  <Application>Microsoft Office Word</Application>
  <DocSecurity>4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Paulina Chudzicka</cp:lastModifiedBy>
  <cp:revision>2</cp:revision>
  <dcterms:created xsi:type="dcterms:W3CDTF">2022-12-05T09:55:00Z</dcterms:created>
  <dcterms:modified xsi:type="dcterms:W3CDTF">2022-12-05T09:55:00Z</dcterms:modified>
</cp:coreProperties>
</file>