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2461E1D4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E514F8">
        <w:rPr>
          <w:sz w:val="22"/>
          <w:szCs w:val="22"/>
        </w:rPr>
        <w:t>1</w:t>
      </w:r>
      <w:r w:rsidR="001D3C92">
        <w:rPr>
          <w:sz w:val="22"/>
          <w:szCs w:val="22"/>
        </w:rPr>
        <w:t>4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77777777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WB-372/IM/504-D114-66-0006834/Z-001/22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7CEEF1AE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 xml:space="preserve">WB-372/IM/504-D114-66-0006834/Z-001/22 </w:t>
      </w:r>
      <w:proofErr w:type="spellStart"/>
      <w:r w:rsidRPr="00223D5F">
        <w:rPr>
          <w:sz w:val="22"/>
          <w:szCs w:val="22"/>
        </w:rPr>
        <w:t>pn</w:t>
      </w:r>
      <w:proofErr w:type="spellEnd"/>
      <w:r w:rsidRPr="00223D5F">
        <w:rPr>
          <w:sz w:val="22"/>
          <w:szCs w:val="22"/>
        </w:rPr>
        <w:t xml:space="preserve">: </w:t>
      </w:r>
      <w:r w:rsidR="00223D5F" w:rsidRPr="00223D5F">
        <w:rPr>
          <w:color w:val="000000"/>
          <w:sz w:val="22"/>
          <w:szCs w:val="22"/>
          <w:lang w:eastAsia="en-US"/>
        </w:rPr>
        <w:t>„Dostawa aparatury laboratoryjnej dla Wydziału Biologii Uniwersytetu Warszawskiego”.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223D5F">
        <w:rPr>
          <w:sz w:val="22"/>
          <w:szCs w:val="22"/>
        </w:rPr>
        <w:t>późn</w:t>
      </w:r>
      <w:proofErr w:type="spellEnd"/>
      <w:r w:rsidRPr="00223D5F">
        <w:rPr>
          <w:sz w:val="22"/>
          <w:szCs w:val="22"/>
        </w:rPr>
        <w:t xml:space="preserve">. </w:t>
      </w:r>
      <w:proofErr w:type="spellStart"/>
      <w:r w:rsidRPr="00223D5F">
        <w:rPr>
          <w:sz w:val="22"/>
          <w:szCs w:val="22"/>
        </w:rPr>
        <w:t>zm</w:t>
      </w:r>
      <w:proofErr w:type="spellEnd"/>
      <w:r w:rsidRPr="00223D5F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72065AE" w14:textId="75483AED" w:rsidR="0042217E" w:rsidRPr="004644C5" w:rsidRDefault="0042217E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01CB6">
        <w:rPr>
          <w:rFonts w:ascii="Times New Roman" w:hAnsi="Times New Roman" w:cs="Times New Roman"/>
          <w:b/>
          <w:bCs/>
          <w:highlight w:val="yellow"/>
          <w:u w:val="single"/>
        </w:rPr>
        <w:t>Pytani</w:t>
      </w:r>
      <w:r w:rsidR="002E6CBD" w:rsidRPr="00501CB6">
        <w:rPr>
          <w:rFonts w:ascii="Times New Roman" w:hAnsi="Times New Roman" w:cs="Times New Roman"/>
          <w:b/>
          <w:bCs/>
          <w:highlight w:val="yellow"/>
          <w:u w:val="single"/>
        </w:rPr>
        <w:t>a</w:t>
      </w:r>
      <w:r w:rsidRPr="00501CB6">
        <w:rPr>
          <w:rFonts w:ascii="Times New Roman" w:hAnsi="Times New Roman" w:cs="Times New Roman"/>
          <w:b/>
          <w:bCs/>
          <w:highlight w:val="yellow"/>
          <w:u w:val="single"/>
        </w:rPr>
        <w:t xml:space="preserve"> z dnia </w:t>
      </w:r>
      <w:r w:rsidR="004644C5" w:rsidRPr="00501CB6">
        <w:rPr>
          <w:rFonts w:ascii="Times New Roman" w:hAnsi="Times New Roman" w:cs="Times New Roman"/>
          <w:b/>
          <w:bCs/>
          <w:highlight w:val="yellow"/>
          <w:u w:val="single"/>
        </w:rPr>
        <w:t>12</w:t>
      </w:r>
      <w:r w:rsidR="00223D5F" w:rsidRPr="00501CB6">
        <w:rPr>
          <w:rFonts w:ascii="Times New Roman" w:hAnsi="Times New Roman" w:cs="Times New Roman"/>
          <w:b/>
          <w:bCs/>
          <w:highlight w:val="yellow"/>
          <w:u w:val="single"/>
        </w:rPr>
        <w:t>.12</w:t>
      </w:r>
      <w:r w:rsidRPr="00501CB6">
        <w:rPr>
          <w:rFonts w:ascii="Times New Roman" w:hAnsi="Times New Roman" w:cs="Times New Roman"/>
          <w:b/>
          <w:bCs/>
          <w:highlight w:val="yellow"/>
          <w:u w:val="single"/>
        </w:rPr>
        <w:t>.2022</w:t>
      </w:r>
      <w:r w:rsidR="00223D5F" w:rsidRPr="004644C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F6C4551" w14:textId="77C465B7" w:rsidR="004644C5" w:rsidRPr="004644C5" w:rsidRDefault="004644C5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4644C5">
        <w:rPr>
          <w:rFonts w:ascii="Times New Roman" w:hAnsi="Times New Roman" w:cs="Times New Roman"/>
          <w:b/>
          <w:bCs/>
        </w:rPr>
        <w:t xml:space="preserve">Dla części 10: </w:t>
      </w:r>
      <w:proofErr w:type="spellStart"/>
      <w:r w:rsidRPr="004644C5">
        <w:rPr>
          <w:rFonts w:ascii="Times New Roman" w:hAnsi="Times New Roman" w:cs="Times New Roman"/>
          <w:b/>
          <w:bCs/>
        </w:rPr>
        <w:t>Termocykler</w:t>
      </w:r>
      <w:proofErr w:type="spellEnd"/>
    </w:p>
    <w:p w14:paraId="2BDD21F4" w14:textId="77777777" w:rsidR="00A610D7" w:rsidRPr="004644C5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5CEE16CE" w14:textId="77777777" w:rsidR="004644C5" w:rsidRPr="004644C5" w:rsidRDefault="00A610D7" w:rsidP="004644C5">
      <w:pPr>
        <w:shd w:val="clear" w:color="auto" w:fill="FFFFFF"/>
        <w:rPr>
          <w:color w:val="222222"/>
          <w:shd w:val="clear" w:color="auto" w:fill="FFFFFF"/>
        </w:rPr>
      </w:pPr>
      <w:r w:rsidRPr="004644C5">
        <w:rPr>
          <w:color w:val="000000"/>
          <w:lang w:eastAsia="en-US"/>
        </w:rPr>
        <w:t xml:space="preserve"> </w:t>
      </w:r>
      <w:r w:rsidR="004644C5" w:rsidRPr="004644C5">
        <w:rPr>
          <w:color w:val="222222"/>
          <w:shd w:val="clear" w:color="auto" w:fill="FFFFFF"/>
        </w:rPr>
        <w:t xml:space="preserve">1. Czy Zamawiający dla Część 10: </w:t>
      </w:r>
      <w:proofErr w:type="spellStart"/>
      <w:r w:rsidR="004644C5" w:rsidRPr="004644C5">
        <w:rPr>
          <w:color w:val="222222"/>
          <w:shd w:val="clear" w:color="auto" w:fill="FFFFFF"/>
        </w:rPr>
        <w:t>Termocykler</w:t>
      </w:r>
      <w:proofErr w:type="spellEnd"/>
      <w:r w:rsidR="004644C5" w:rsidRPr="004644C5">
        <w:rPr>
          <w:color w:val="222222"/>
          <w:shd w:val="clear" w:color="auto" w:fill="FFFFFF"/>
        </w:rPr>
        <w:t xml:space="preserve"> wymaga, aby w zestawie z </w:t>
      </w:r>
      <w:proofErr w:type="spellStart"/>
      <w:r w:rsidR="004644C5" w:rsidRPr="004644C5">
        <w:rPr>
          <w:color w:val="222222"/>
          <w:shd w:val="clear" w:color="auto" w:fill="FFFFFF"/>
        </w:rPr>
        <w:t>termocyklerem</w:t>
      </w:r>
      <w:proofErr w:type="spellEnd"/>
      <w:r w:rsidR="004644C5" w:rsidRPr="004644C5">
        <w:rPr>
          <w:color w:val="222222"/>
          <w:shd w:val="clear" w:color="auto" w:fill="FFFFFF"/>
        </w:rPr>
        <w:t xml:space="preserve"> dostarczone było akcesorium zabezpieczające przed zgnieceniem probówek podczas pracy </w:t>
      </w:r>
      <w:proofErr w:type="spellStart"/>
      <w:r w:rsidR="004644C5" w:rsidRPr="004644C5">
        <w:rPr>
          <w:color w:val="222222"/>
          <w:shd w:val="clear" w:color="auto" w:fill="FFFFFF"/>
        </w:rPr>
        <w:t>termocyklera</w:t>
      </w:r>
      <w:proofErr w:type="spellEnd"/>
      <w:r w:rsidR="004644C5" w:rsidRPr="004644C5">
        <w:rPr>
          <w:color w:val="222222"/>
          <w:shd w:val="clear" w:color="auto" w:fill="FFFFFF"/>
        </w:rPr>
        <w:t>? Ramka dedykowana i z nim kompatybilna z urządzeniem, w zależności od użytych probówek z wieczkami płaskimi i wypukłymi, zapewniająca równomierny rozkład nacisku pokrywy.</w:t>
      </w:r>
    </w:p>
    <w:p w14:paraId="34EDBE52" w14:textId="21D82885" w:rsidR="004644C5" w:rsidRDefault="004644C5" w:rsidP="00501CB6">
      <w:r w:rsidRPr="004644C5">
        <w:rPr>
          <w:b/>
          <w:bCs/>
          <w:color w:val="222222"/>
          <w:shd w:val="clear" w:color="auto" w:fill="FFFFFF"/>
        </w:rPr>
        <w:t xml:space="preserve">Odpowiedź: </w:t>
      </w:r>
      <w:r w:rsidR="00501CB6">
        <w:t>Zamawiający doprecyzowuje i zmienia treść SWZ.</w:t>
      </w:r>
    </w:p>
    <w:p w14:paraId="7C974BF5" w14:textId="77777777" w:rsidR="00501CB6" w:rsidRDefault="00501CB6" w:rsidP="00501CB6">
      <w:pPr>
        <w:rPr>
          <w:b/>
          <w:bCs/>
          <w:color w:val="222222"/>
          <w:shd w:val="clear" w:color="auto" w:fill="FFFFFF"/>
        </w:rPr>
      </w:pPr>
    </w:p>
    <w:p w14:paraId="1FAB0F55" w14:textId="77777777" w:rsidR="004644C5" w:rsidRPr="004644C5" w:rsidRDefault="004644C5" w:rsidP="004644C5">
      <w:pPr>
        <w:shd w:val="clear" w:color="auto" w:fill="FFFFFF"/>
        <w:rPr>
          <w:color w:val="222222"/>
          <w:shd w:val="clear" w:color="auto" w:fill="FFFFFF"/>
        </w:rPr>
      </w:pPr>
      <w:r w:rsidRPr="004644C5">
        <w:rPr>
          <w:color w:val="222222"/>
          <w:shd w:val="clear" w:color="auto" w:fill="FFFFFF"/>
        </w:rPr>
        <w:t xml:space="preserve">2. Prosimy o doprecyzowanie w jakim układzie Zamawiający wymaga, aby był rozłożony gradient temperatury na bloku. Czy rozkład gradientu na bloku ma być rzędami pozwalając na inkubację 12 próbek w jednej temperaturze podczas użycia funkcji gradientu czy kolumnami pozwalając na inkubację 8 próbek w jednej temperaturze podczas użycia funkcji gradientu? </w:t>
      </w:r>
    </w:p>
    <w:p w14:paraId="656D4034" w14:textId="1BE022B2" w:rsidR="001A3B81" w:rsidRDefault="004644C5" w:rsidP="001A3B81">
      <w:pPr>
        <w:rPr>
          <w:sz w:val="22"/>
          <w:szCs w:val="22"/>
        </w:rPr>
      </w:pPr>
      <w:r w:rsidRPr="004644C5">
        <w:rPr>
          <w:b/>
          <w:bCs/>
          <w:color w:val="222222"/>
          <w:shd w:val="clear" w:color="auto" w:fill="FFFFFF"/>
        </w:rPr>
        <w:t xml:space="preserve">Odpowiedź: </w:t>
      </w:r>
      <w:r w:rsidR="00501CB6">
        <w:t>Zamawiający doprecyzowuje i zmienia treść SWZ.</w:t>
      </w:r>
    </w:p>
    <w:p w14:paraId="55A8A5E8" w14:textId="2B44F3F1" w:rsidR="004644C5" w:rsidRDefault="004644C5" w:rsidP="004644C5">
      <w:pPr>
        <w:shd w:val="clear" w:color="auto" w:fill="FFFFFF"/>
        <w:rPr>
          <w:b/>
          <w:bCs/>
          <w:color w:val="222222"/>
          <w:shd w:val="clear" w:color="auto" w:fill="FFFFFF"/>
        </w:rPr>
      </w:pPr>
    </w:p>
    <w:p w14:paraId="636E13D1" w14:textId="10FB2E91" w:rsidR="004644C5" w:rsidRDefault="004644C5" w:rsidP="004644C5">
      <w:pPr>
        <w:shd w:val="clear" w:color="auto" w:fill="FFFFFF"/>
        <w:rPr>
          <w:b/>
          <w:bCs/>
          <w:color w:val="222222"/>
          <w:shd w:val="clear" w:color="auto" w:fill="FFFFFF"/>
        </w:rPr>
      </w:pPr>
    </w:p>
    <w:p w14:paraId="6AF28B18" w14:textId="07F2AB00" w:rsidR="004644C5" w:rsidRPr="004644C5" w:rsidRDefault="004644C5" w:rsidP="004644C5">
      <w:pPr>
        <w:shd w:val="clear" w:color="auto" w:fill="FFFFFF"/>
        <w:rPr>
          <w:b/>
          <w:bCs/>
          <w:color w:val="222222"/>
          <w:shd w:val="clear" w:color="auto" w:fill="FFFFFF"/>
        </w:rPr>
      </w:pPr>
      <w:r w:rsidRPr="004644C5">
        <w:rPr>
          <w:b/>
          <w:bCs/>
          <w:color w:val="222222"/>
          <w:shd w:val="clear" w:color="auto" w:fill="FFFFFF"/>
        </w:rPr>
        <w:t>Dla części 6:  : Aparat do automatycznego zliczania komórek</w:t>
      </w:r>
    </w:p>
    <w:p w14:paraId="1287E9AA" w14:textId="37739A9D" w:rsidR="004644C5" w:rsidRDefault="004644C5" w:rsidP="004644C5">
      <w:pPr>
        <w:shd w:val="clear" w:color="auto" w:fill="FFFFFF"/>
        <w:rPr>
          <w:color w:val="222222"/>
          <w:shd w:val="clear" w:color="auto" w:fill="FFFFFF"/>
        </w:rPr>
      </w:pPr>
      <w:r w:rsidRPr="004644C5">
        <w:rPr>
          <w:color w:val="222222"/>
          <w:shd w:val="clear" w:color="auto" w:fill="FFFFFF"/>
        </w:rPr>
        <w:t xml:space="preserve">Pytanie dla Część 6: Aparat do automatycznego zliczania komórek w opisie przedmiotu zamówienia wymaga dla oferowanego urządzenia 24 miesięcznej gwarancji. Ze względu na fakt, iż oferowana aparatura jest wyjściowo objęta 12 miesięczną gwarancją, może ona być rozszerzona do 24 miesięcy. W takim przypadku w momencie finalizacji kontraktu dodatkowa gwarancja jako swego rodzaju „usługa serwisowa” i ze względu na jej charakter fakturowana jest na oddzielnym dokumencie/fakturze. Czy Zamawiający w przypadku finalizacji kontraktu zgodzi się na zafakturowanie pozycji i wartości rozszerzenia gwarancji, dla oferowanego licznika komórek, na oddzielnej fakturze? Pytanie spowodowane jest wewnętrznymi ustawieniami systemu Wykonawcy i nie ma możliwości połączenia na jednym dokumencie/fakturze produktów/urządzeń/akcesoriów z dodatkową gwarancją. Ewentualnie czy Zamawiający zgodzi się, dla urządzenia z części nr 6, na zaoferowanie aparatury z 12 miesięczna gwarancją? </w:t>
      </w:r>
    </w:p>
    <w:p w14:paraId="68FF3ABF" w14:textId="374A15F3" w:rsidR="004644C5" w:rsidRPr="00E5521A" w:rsidRDefault="004644C5" w:rsidP="004644C5">
      <w:pPr>
        <w:shd w:val="clear" w:color="auto" w:fill="FFFFFF"/>
        <w:rPr>
          <w:color w:val="222222"/>
          <w:shd w:val="clear" w:color="auto" w:fill="FFFFFF"/>
        </w:rPr>
      </w:pPr>
      <w:r w:rsidRPr="004644C5">
        <w:rPr>
          <w:b/>
          <w:bCs/>
          <w:color w:val="222222"/>
          <w:shd w:val="clear" w:color="auto" w:fill="FFFFFF"/>
        </w:rPr>
        <w:t xml:space="preserve">Odpowiedź: </w:t>
      </w:r>
      <w:r w:rsidR="00E5521A" w:rsidRPr="00E5521A">
        <w:rPr>
          <w:color w:val="222222"/>
          <w:shd w:val="clear" w:color="auto" w:fill="FFFFFF"/>
        </w:rPr>
        <w:t xml:space="preserve">Zamawiający wymaga by bezpłatna gwarancja obejmowała 24 miesiące w ofercie. </w:t>
      </w:r>
    </w:p>
    <w:p w14:paraId="1AF4C0B9" w14:textId="031BDC94" w:rsidR="00A610D7" w:rsidRDefault="00A610D7" w:rsidP="004644C5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4C5BD8EC" w14:textId="77777777" w:rsidR="00501CB6" w:rsidRPr="00C24C45" w:rsidRDefault="00501CB6" w:rsidP="00501CB6">
      <w:pPr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  <w:bookmarkStart w:id="2" w:name="_Hlk121817380"/>
      <w:r w:rsidRPr="00501CB6">
        <w:rPr>
          <w:b/>
          <w:bCs/>
          <w:color w:val="000000"/>
          <w:highlight w:val="yellow"/>
          <w:u w:val="single"/>
          <w:lang w:eastAsia="en-US"/>
        </w:rPr>
        <w:t>Pytania z dnia 13.12.2022</w:t>
      </w:r>
    </w:p>
    <w:p w14:paraId="7A9DB364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 xml:space="preserve"> 1. Dotyczy § 4 ust. 1 pkt 2) Projektowanych postanowień umowy (Załącznik nr 8 do SWZ).</w:t>
      </w:r>
    </w:p>
    <w:p w14:paraId="0EF8057B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Prosimy o wyjaśnienie, czy Zamawiający wyrazi zgodę na modyfikację kary umownej wskazanej w § 4 ust. 1 pkt 2) Projektowanych postanowień umowy tak aby była ona liczona jako 0,1% wynagrodzenia netto , o którym mowa w § 3 ust. 1 Umowy, za każdy dzień zwłoki?</w:t>
      </w:r>
    </w:p>
    <w:p w14:paraId="5BF706CA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Uzasadnienie:</w:t>
      </w:r>
    </w:p>
    <w:p w14:paraId="2ECC5BAF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W obrocie z reguły spotyka się kary umowne, których wysokość jest uzależniona od wartości umowy, co pozwala uniknąć sytuacji, w których w przypadku niewielkiej wartości umowy kara wyrażona kwotowo może zostać uznana za znacząco wygórowaną w rozumieniu art. 484 § 2 Kodeksu cywilnego. Złagodzenie postanowień dot. kar umownych może skłonić więcej firm do złożenia ofert w niniejszym postępowaniu, co może przyczynić się do lepszych warunków w zakresie oferowanych Zamawiającemu cen produktów.</w:t>
      </w:r>
    </w:p>
    <w:p w14:paraId="70E61C6B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46DD1887" w14:textId="7E49A5FC" w:rsidR="00501CB6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C24C45">
        <w:rPr>
          <w:b/>
          <w:bCs/>
          <w:color w:val="000000"/>
          <w:lang w:eastAsia="en-US"/>
        </w:rPr>
        <w:t xml:space="preserve">Odpowiedź: </w:t>
      </w:r>
      <w:r>
        <w:rPr>
          <w:b/>
          <w:bCs/>
          <w:color w:val="000000"/>
          <w:lang w:eastAsia="en-US"/>
        </w:rPr>
        <w:t>N</w:t>
      </w:r>
      <w:r w:rsidRPr="00C24C45">
        <w:rPr>
          <w:b/>
          <w:bCs/>
          <w:color w:val="000000"/>
          <w:lang w:eastAsia="en-US"/>
        </w:rPr>
        <w:t>ie</w:t>
      </w:r>
    </w:p>
    <w:p w14:paraId="2B02BD00" w14:textId="77777777" w:rsidR="00501CB6" w:rsidRPr="00C24C45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23196731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2. Dotyczy § 4 ust. 1 pkt 3) Projektowanych postanowień umowy (Załącznik nr 8 do SWZ).</w:t>
      </w:r>
    </w:p>
    <w:p w14:paraId="20989380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Prosimy o wyjaśnienie, czy Zamawiający wyrazi zgodę na modyfikację kary umownej wskazanej w § 4 ust. 1 pkt 3) Projektowanych postanowień umowy tak aby była ona liczona jako 0,1% wynagrodzenia netto , o którym mowa w § 3 ust. 1 Umowy, za każdy dzień zwłoki?</w:t>
      </w:r>
    </w:p>
    <w:p w14:paraId="185F6108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lastRenderedPageBreak/>
        <w:t>Uzasadnienie:</w:t>
      </w:r>
    </w:p>
    <w:p w14:paraId="1E1A26FB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W obrocie z reguły spotyka się kary umowne, których wysokość jest uzależniona od wartości umowy, co pozwala uniknąć sytuacji, w których w przypadku niewielkiej wartości umowy kara wyrażona kwotowo może zostać uznana za znacząco wygórowaną w rozumieniu art. 484 § 2 Kodeksu cywilnego. Złagodzenie postanowień dot. kar umownych może skłonić więcej firm do złożenia ofert w niniejszym postępowaniu, co może przyczynić się do lepszych warunków w zakresie oferowanych Zamawiającemu cen produktów.</w:t>
      </w:r>
    </w:p>
    <w:p w14:paraId="6C563210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41CB8992" w14:textId="77777777" w:rsidR="00501CB6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C24C45">
        <w:rPr>
          <w:b/>
          <w:bCs/>
          <w:color w:val="000000"/>
          <w:lang w:eastAsia="en-US"/>
        </w:rPr>
        <w:t>Odpowiedź: Nie</w:t>
      </w:r>
    </w:p>
    <w:p w14:paraId="38698653" w14:textId="77777777" w:rsidR="00501CB6" w:rsidRPr="00C24C45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4352E14A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3. Dotyczy § 4 ust. 1 pkt 4) Projektowanych postanowień umowy (Załącznik nr 8 do SWZ).</w:t>
      </w:r>
    </w:p>
    <w:p w14:paraId="5D99A421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Prosimy o wyjaśnienie, czy Zamawiający wyrazi zgodę na modyfikację kary umownej wskazanej w § 4 ust. 1 pkt 3) Projektowanych postanowień umowy tak aby była ona liczona jako 0,1% wynagrodzenia netto , o którym mowa w § 3 ust. 1 Umowy, za każdy dzień zwłoki?</w:t>
      </w:r>
    </w:p>
    <w:p w14:paraId="6A3A746E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Uzasadnienie:</w:t>
      </w:r>
    </w:p>
    <w:p w14:paraId="5F91961F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W obrocie z reguły spotyka się kary umowne, których wysokość jest uzależniona od wartości umowy, co pozwala uniknąć sytuacji, w których w przypadku niewielkiej wartości umowy kara wyrażona kwotowo może zostać uznana za znacząco wygórowaną w rozumieniu art. 484 § 2 Kodeksu cywilnego. Złagodzenie</w:t>
      </w:r>
      <w:r>
        <w:rPr>
          <w:color w:val="000000"/>
          <w:lang w:eastAsia="en-US"/>
        </w:rPr>
        <w:t xml:space="preserve"> </w:t>
      </w:r>
      <w:r w:rsidRPr="00C24C45">
        <w:rPr>
          <w:color w:val="000000"/>
          <w:lang w:eastAsia="en-US"/>
        </w:rPr>
        <w:t>2</w:t>
      </w:r>
      <w:r>
        <w:rPr>
          <w:color w:val="000000"/>
          <w:lang w:eastAsia="en-US"/>
        </w:rPr>
        <w:t xml:space="preserve"> </w:t>
      </w:r>
      <w:r w:rsidRPr="00C24C45">
        <w:rPr>
          <w:color w:val="000000"/>
          <w:lang w:eastAsia="en-US"/>
        </w:rPr>
        <w:t>postanowień dot. kar umownych może skłonić więcej firm do złożenia ofert w niniejszym postępowaniu, co może przyczynić się do lepszych warunków w zakresie oferowanych Zamawiającemu cen produktów.</w:t>
      </w:r>
    </w:p>
    <w:p w14:paraId="6F390E42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AE4E280" w14:textId="77777777" w:rsidR="00501CB6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C24C45">
        <w:rPr>
          <w:b/>
          <w:bCs/>
          <w:color w:val="000000"/>
          <w:lang w:eastAsia="en-US"/>
        </w:rPr>
        <w:t>Odpowiedź: Nie</w:t>
      </w:r>
    </w:p>
    <w:p w14:paraId="39D23153" w14:textId="77777777" w:rsidR="00501CB6" w:rsidRPr="00C24C45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4FBB1B7D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4. Dotyczy § 8 ust. 4 Projektowanych postanowień umowy (Załącznik nr 8 do SWZ).</w:t>
      </w:r>
    </w:p>
    <w:p w14:paraId="581A582F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Prosimy o wyjaśnienie, czy Zamawiający wyrazi zgodę na zmianę treści zapisu § 8 ust. 4 Projektowanych postanowień umowy na następującą: „Wykonawca zapewni serwis gwarancyjny w miejscu wskazanym przez Zamawiającego, znajdującym się na terenie Polski. Warunki gwarancji muszą zezwalać na dokonywanie zmian w konfiguracji sprzętu, bez ingerencji w elementy mechaniczne, elektryczne i elektroniczne, i dołączanie dodatkowych urządzeń.”?</w:t>
      </w:r>
    </w:p>
    <w:p w14:paraId="05B5F1BF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Uzasadnienie:</w:t>
      </w:r>
    </w:p>
    <w:p w14:paraId="3007EABA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 xml:space="preserve">Prosimy o doprecyzowanie, iż serwis w miejscu wskazanym przez Zamawiającego będzie odbywał się na terenie Polski. Dodatkowo prosimy o doprecyzowanie zakresu możliwej ingerencji w dostarczony sprzęt. Dopuszczalne jest bowiem konfigurowanie sprzętu w ramach posiadanych </w:t>
      </w:r>
      <w:r w:rsidRPr="00C24C45">
        <w:rPr>
          <w:color w:val="000000"/>
          <w:lang w:eastAsia="en-US"/>
        </w:rPr>
        <w:lastRenderedPageBreak/>
        <w:t>przezeń funkcji oraz zakresie jego działania, a także dostawianie do niego kolejnych urządzeń czy akcesoriów. Producenci nie dopuszczają jednak ingerencji w tzw. „materię” sprzętu, co zawsze wiąże się z utratą gwarancji.</w:t>
      </w:r>
    </w:p>
    <w:p w14:paraId="3AC4C035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290E748B" w14:textId="4A909D7F" w:rsidR="00501CB6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C24C45">
        <w:rPr>
          <w:b/>
          <w:bCs/>
          <w:color w:val="000000"/>
          <w:lang w:eastAsia="en-US"/>
        </w:rPr>
        <w:t xml:space="preserve">Odpowiedź: </w:t>
      </w:r>
      <w:r w:rsidR="001D3C92">
        <w:rPr>
          <w:b/>
          <w:bCs/>
          <w:color w:val="000000"/>
          <w:lang w:eastAsia="en-US"/>
        </w:rPr>
        <w:t>Nie</w:t>
      </w:r>
    </w:p>
    <w:p w14:paraId="2A99B052" w14:textId="77777777" w:rsidR="00501CB6" w:rsidRPr="00C24C45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650DF9A0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5. Dotyczy § 8 ust. 5 Projektowanych postanowień umowy (Załącznik nr 8 do SWZ).</w:t>
      </w:r>
    </w:p>
    <w:p w14:paraId="642E6609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Prosimy o wyjaśnienie, czy Zamawiający wyrazi zgodę na doprecyzowanie treści zapisu § 8 ust. 5 Projektowanych postanowień umowy w następujący sposób: „Wszystkie wymagane przez producenta przeglądy okresowe w okresie gwarancji wykonuje Wykonawca na swój koszt i ryzyko.”?</w:t>
      </w:r>
    </w:p>
    <w:p w14:paraId="630D4B39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Uzasadnienie:</w:t>
      </w:r>
    </w:p>
    <w:p w14:paraId="100BAF63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Prosimy o doprecyzowanie, iż chodzi o obowiązkowe przeglądy, których wykonania producent wymaga dla zachowania gwarancji.</w:t>
      </w:r>
    </w:p>
    <w:p w14:paraId="7F7DC71F" w14:textId="77777777" w:rsidR="00501CB6" w:rsidRDefault="00501CB6" w:rsidP="00501CB6">
      <w:pPr>
        <w:rPr>
          <w:sz w:val="22"/>
          <w:szCs w:val="22"/>
        </w:rPr>
      </w:pPr>
      <w:r w:rsidRPr="00C24C45">
        <w:rPr>
          <w:b/>
          <w:bCs/>
          <w:color w:val="000000"/>
          <w:lang w:eastAsia="en-US"/>
        </w:rPr>
        <w:t xml:space="preserve">Odpowiedź: </w:t>
      </w:r>
      <w:r w:rsidRPr="00501CB6">
        <w:t>Zamawiający informuje, że użyty termin "przeglądy okresowe" odnosi się do przeglądów obowiązkowych.</w:t>
      </w:r>
      <w:r>
        <w:t xml:space="preserve"> </w:t>
      </w:r>
    </w:p>
    <w:p w14:paraId="2B542F19" w14:textId="174CE348" w:rsidR="00501CB6" w:rsidRPr="00C24C45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23AA4D60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6. Dotyczy § 8 ust. 6 Projektowanych postanowień umowy (Załącznik nr 8 do SWZ).</w:t>
      </w:r>
    </w:p>
    <w:p w14:paraId="5767144B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Prosimy o wyjaśnienie, czy Zamawiający wyrazi zgodę na zmianę treści § 8 ust. 6 Projektowanych postanowień umowy na następującą:</w:t>
      </w:r>
    </w:p>
    <w:p w14:paraId="288278D5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„Szczegółowe warunki dokonywania napraw gwarancyjnych:</w:t>
      </w:r>
    </w:p>
    <w:p w14:paraId="30625953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1) dokonywanie napraw sprzętu w siedzibie Zamawiającego nie później niż w terminie 14 dni roboczych tj. od poniedziałku do piątku z wyłączeniem dni ustawowo wolnych od pracy, w godzinach ustalonych z Zamawiającym.</w:t>
      </w:r>
    </w:p>
    <w:p w14:paraId="480985BE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2) w przypadku, gdy istnieje konieczność oddania sprzętu lub jego części do serwisu lub dokonania sprowadzenia części Wykonawca jest zobowiązany do dokonania naprawy nie później niż w terminie 21 dni roboczych.</w:t>
      </w:r>
    </w:p>
    <w:p w14:paraId="305C9388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3) w przypadku, gdy dany element sprzętu był naprawiany 3 razy i wystąpi kolejna wada, Zamawiającemu przysługuje wymiana tego elementu sprzętu na nowy, taki sam lub uzgodniony, o co najmniej takich samych parametrach technicznych,</w:t>
      </w:r>
    </w:p>
    <w:p w14:paraId="6A948326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4) okres gwarancji ulega automatycznie przedłużeniu o czas trwania naprawy sprzętu.</w:t>
      </w:r>
    </w:p>
    <w:p w14:paraId="5E78323A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Uzasadnienie:</w:t>
      </w:r>
    </w:p>
    <w:p w14:paraId="442BCAB7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 xml:space="preserve">Oczekiwane przez Zamawiającego warunki serwisowe są zasadniczo niemożliwe do spełnienia przez firmy nie utrzymujące tzw. pogotowia serwisowego 24 godziny, 7 dni w tygodniu, a zatem są </w:t>
      </w:r>
      <w:r w:rsidRPr="00C24C45">
        <w:rPr>
          <w:color w:val="000000"/>
          <w:lang w:eastAsia="en-US"/>
        </w:rPr>
        <w:lastRenderedPageBreak/>
        <w:t>dyskryminujące dla małych i średnich przedsiębiorców. Dodatkowo większość sprzętu laboratoryjnego nie jest produkowana w Polsce, a zatem naprawa w ciągu 3 dni tym bardziej nie jest możliwa i wymagałaby utrzymywania kompletu części na stanie oraz inżyniera „w pogotowiu”. Wykonawcy nie są producentami oferowanych urządzeń, stąd zapewnienie sprzętu zastępczego wiązałoby się z koniecznością zakupu drugiego urządzenia, gdyż zdecydowana większość producentów nie oferuje takiego rozwiązania. Zachowanie zakwestionowanych warunków serwisowych spowoduje znaczny wzrost cen ofert, wynikający z konieczności ich zapewnienia</w:t>
      </w:r>
      <w:r>
        <w:rPr>
          <w:color w:val="000000"/>
          <w:lang w:eastAsia="en-US"/>
        </w:rPr>
        <w:t xml:space="preserve"> </w:t>
      </w:r>
      <w:r w:rsidRPr="00C24C45">
        <w:rPr>
          <w:color w:val="000000"/>
          <w:lang w:eastAsia="en-US"/>
        </w:rPr>
        <w:t>3</w:t>
      </w:r>
    </w:p>
    <w:p w14:paraId="5F0C9AAE" w14:textId="77777777" w:rsidR="00501CB6" w:rsidRPr="00C24C45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  <w:r w:rsidRPr="00C24C45">
        <w:rPr>
          <w:color w:val="000000"/>
          <w:lang w:eastAsia="en-US"/>
        </w:rPr>
        <w:t>przez oferentów i może przyczynić się do zmniejszenia liczby ofert w postepowaniu z uwagi na brak możliwości ich spełnienia przez część Wykonawców.</w:t>
      </w:r>
    </w:p>
    <w:p w14:paraId="0196FB01" w14:textId="77777777" w:rsidR="00501CB6" w:rsidRDefault="00501CB6" w:rsidP="00501CB6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827F729" w14:textId="4B9A2011" w:rsidR="00501CB6" w:rsidRDefault="00501CB6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C24C45">
        <w:rPr>
          <w:b/>
          <w:bCs/>
          <w:color w:val="000000"/>
          <w:lang w:eastAsia="en-US"/>
        </w:rPr>
        <w:t xml:space="preserve">Odpowiedź: </w:t>
      </w:r>
      <w:r>
        <w:rPr>
          <w:b/>
          <w:bCs/>
          <w:color w:val="000000"/>
          <w:lang w:eastAsia="en-US"/>
        </w:rPr>
        <w:t>Nie</w:t>
      </w:r>
    </w:p>
    <w:p w14:paraId="72CD1885" w14:textId="4D1809FF" w:rsidR="001D3C92" w:rsidRDefault="001D3C92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2E296529" w14:textId="0299BFC6" w:rsidR="001D3C92" w:rsidRDefault="001D3C92" w:rsidP="001D3C92">
      <w:pPr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  <w:r w:rsidRPr="00501CB6">
        <w:rPr>
          <w:b/>
          <w:bCs/>
          <w:color w:val="000000"/>
          <w:highlight w:val="yellow"/>
          <w:u w:val="single"/>
          <w:lang w:eastAsia="en-US"/>
        </w:rPr>
        <w:t>Pytania z dnia 1</w:t>
      </w:r>
      <w:r>
        <w:rPr>
          <w:b/>
          <w:bCs/>
          <w:color w:val="000000"/>
          <w:highlight w:val="yellow"/>
          <w:u w:val="single"/>
          <w:lang w:eastAsia="en-US"/>
        </w:rPr>
        <w:t>4</w:t>
      </w:r>
      <w:r w:rsidRPr="00501CB6">
        <w:rPr>
          <w:b/>
          <w:bCs/>
          <w:color w:val="000000"/>
          <w:highlight w:val="yellow"/>
          <w:u w:val="single"/>
          <w:lang w:eastAsia="en-US"/>
        </w:rPr>
        <w:t>.12.2022</w:t>
      </w:r>
    </w:p>
    <w:p w14:paraId="3A666B2F" w14:textId="77777777" w:rsidR="001D3C92" w:rsidRPr="001D3C92" w:rsidRDefault="001D3C92" w:rsidP="001D3C92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  <w:color w:val="262A32"/>
          <w:sz w:val="24"/>
          <w:szCs w:val="24"/>
          <w:shd w:val="clear" w:color="auto" w:fill="FFFFFF"/>
        </w:rPr>
      </w:pPr>
      <w:r w:rsidRPr="001D3C92">
        <w:rPr>
          <w:rFonts w:ascii="Times New Roman" w:hAnsi="Times New Roman" w:cs="Times New Roman"/>
          <w:color w:val="262A32"/>
          <w:sz w:val="24"/>
          <w:szCs w:val="24"/>
          <w:shd w:val="clear" w:color="auto" w:fill="FFFFFF"/>
        </w:rPr>
        <w:t xml:space="preserve">Czy dopuszczą Państwo  urządzenie bez możliwości zliczania komórek z kilku warstw analizowanej próby ( analiza </w:t>
      </w:r>
      <w:proofErr w:type="spellStart"/>
      <w:r w:rsidRPr="001D3C92">
        <w:rPr>
          <w:rFonts w:ascii="Times New Roman" w:hAnsi="Times New Roman" w:cs="Times New Roman"/>
          <w:color w:val="262A32"/>
          <w:sz w:val="24"/>
          <w:szCs w:val="24"/>
          <w:shd w:val="clear" w:color="auto" w:fill="FFFFFF"/>
        </w:rPr>
        <w:t>wieloplaszczyznowa</w:t>
      </w:r>
      <w:proofErr w:type="spellEnd"/>
      <w:r w:rsidRPr="001D3C92">
        <w:rPr>
          <w:rFonts w:ascii="Times New Roman" w:hAnsi="Times New Roman" w:cs="Times New Roman"/>
          <w:color w:val="262A32"/>
          <w:sz w:val="24"/>
          <w:szCs w:val="24"/>
          <w:shd w:val="clear" w:color="auto" w:fill="FFFFFF"/>
        </w:rPr>
        <w:t xml:space="preserve">) </w:t>
      </w:r>
    </w:p>
    <w:p w14:paraId="5F5EC21B" w14:textId="1D3EA852" w:rsidR="001D3C92" w:rsidRPr="001D3C92" w:rsidRDefault="001D3C92" w:rsidP="001D3C9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Odpowiedź: </w:t>
      </w:r>
    </w:p>
    <w:p w14:paraId="2E4454CE" w14:textId="77777777" w:rsidR="001D3C92" w:rsidRPr="00C24C45" w:rsidRDefault="001D3C92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bookmarkEnd w:id="2"/>
    <w:p w14:paraId="3859F26D" w14:textId="77777777" w:rsidR="0042217E" w:rsidRPr="00A610D7" w:rsidRDefault="0042217E" w:rsidP="00A610D7">
      <w:pPr>
        <w:spacing w:line="240" w:lineRule="auto"/>
        <w:jc w:val="both"/>
      </w:pPr>
    </w:p>
    <w:p w14:paraId="72DE7E16" w14:textId="25E5B7EA" w:rsidR="00177827" w:rsidRPr="00223D5F" w:rsidRDefault="00B67CE5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223D5F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707E" w14:textId="77777777" w:rsidR="00582349" w:rsidRDefault="00582349">
      <w:pPr>
        <w:spacing w:line="240" w:lineRule="auto"/>
      </w:pPr>
      <w:r>
        <w:separator/>
      </w:r>
    </w:p>
  </w:endnote>
  <w:endnote w:type="continuationSeparator" w:id="0">
    <w:p w14:paraId="30912230" w14:textId="77777777" w:rsidR="00582349" w:rsidRDefault="00582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9600" w14:textId="77777777" w:rsidR="00582349" w:rsidRDefault="00582349">
      <w:pPr>
        <w:spacing w:line="240" w:lineRule="auto"/>
      </w:pPr>
      <w:r>
        <w:separator/>
      </w:r>
    </w:p>
  </w:footnote>
  <w:footnote w:type="continuationSeparator" w:id="0">
    <w:p w14:paraId="284C36F1" w14:textId="77777777" w:rsidR="00582349" w:rsidRDefault="00582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C48D1"/>
    <w:rsid w:val="001D3C92"/>
    <w:rsid w:val="001E20B1"/>
    <w:rsid w:val="0021234D"/>
    <w:rsid w:val="00223D5F"/>
    <w:rsid w:val="0026331B"/>
    <w:rsid w:val="002D28B2"/>
    <w:rsid w:val="002E6CBD"/>
    <w:rsid w:val="00302782"/>
    <w:rsid w:val="00302983"/>
    <w:rsid w:val="00315549"/>
    <w:rsid w:val="00374F4E"/>
    <w:rsid w:val="003D24C5"/>
    <w:rsid w:val="00414B25"/>
    <w:rsid w:val="0042217E"/>
    <w:rsid w:val="004644C5"/>
    <w:rsid w:val="004A2C69"/>
    <w:rsid w:val="004C5875"/>
    <w:rsid w:val="004E0F10"/>
    <w:rsid w:val="004F346C"/>
    <w:rsid w:val="00501CB6"/>
    <w:rsid w:val="005055ED"/>
    <w:rsid w:val="00544D5F"/>
    <w:rsid w:val="005712B4"/>
    <w:rsid w:val="00582349"/>
    <w:rsid w:val="005A3608"/>
    <w:rsid w:val="005C1789"/>
    <w:rsid w:val="00660368"/>
    <w:rsid w:val="006747A9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9646C"/>
    <w:rsid w:val="008E0853"/>
    <w:rsid w:val="008E3BA9"/>
    <w:rsid w:val="008F011C"/>
    <w:rsid w:val="008F3827"/>
    <w:rsid w:val="00902663"/>
    <w:rsid w:val="00964F7A"/>
    <w:rsid w:val="0097532F"/>
    <w:rsid w:val="009A2AA9"/>
    <w:rsid w:val="009E06F9"/>
    <w:rsid w:val="009E6A96"/>
    <w:rsid w:val="00A236F5"/>
    <w:rsid w:val="00A610D7"/>
    <w:rsid w:val="00A646FB"/>
    <w:rsid w:val="00A700D1"/>
    <w:rsid w:val="00AC0CE1"/>
    <w:rsid w:val="00AC4A3E"/>
    <w:rsid w:val="00AC7639"/>
    <w:rsid w:val="00B01776"/>
    <w:rsid w:val="00B161B8"/>
    <w:rsid w:val="00B325B9"/>
    <w:rsid w:val="00B4726F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514F8"/>
    <w:rsid w:val="00E5521A"/>
    <w:rsid w:val="00E62237"/>
    <w:rsid w:val="00E65549"/>
    <w:rsid w:val="00E70479"/>
    <w:rsid w:val="00ED0342"/>
    <w:rsid w:val="00EE6AAC"/>
    <w:rsid w:val="00EF3822"/>
    <w:rsid w:val="00F203AD"/>
    <w:rsid w:val="00F23941"/>
    <w:rsid w:val="00F50468"/>
    <w:rsid w:val="00F54AE3"/>
    <w:rsid w:val="00F558B5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8</cp:revision>
  <cp:lastPrinted>2022-12-09T08:22:00Z</cp:lastPrinted>
  <dcterms:created xsi:type="dcterms:W3CDTF">2022-12-12T10:09:00Z</dcterms:created>
  <dcterms:modified xsi:type="dcterms:W3CDTF">2022-12-14T08:17:00Z</dcterms:modified>
</cp:coreProperties>
</file>