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D3A" w14:textId="1262F6AA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00E0F875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3A19F3A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2ED69733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77777777" w:rsidR="009F40F2" w:rsidRPr="00A83648" w:rsidRDefault="009F40F2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2AC4EB8A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Postępowanie o udzielenie zamówienia prowadzone w trybie przetargu nieograniczonego na podstawie przepisów ustawy z dnia 11 września 2019 r. - Prawo zamówień publicznych (Dz. U. z </w:t>
      </w:r>
      <w:r w:rsidR="00F920F6" w:rsidRPr="00A83648">
        <w:rPr>
          <w:rFonts w:asciiTheme="majorHAnsi" w:hAnsiTheme="majorHAnsi" w:cstheme="majorHAnsi"/>
          <w:sz w:val="22"/>
          <w:szCs w:val="22"/>
        </w:rPr>
        <w:t>202</w:t>
      </w:r>
      <w:r w:rsidR="00F920F6">
        <w:rPr>
          <w:rFonts w:asciiTheme="majorHAnsi" w:hAnsiTheme="majorHAnsi" w:cstheme="majorHAnsi"/>
          <w:sz w:val="22"/>
          <w:szCs w:val="22"/>
        </w:rPr>
        <w:t>2</w:t>
      </w:r>
      <w:r w:rsidR="00F920F6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r. poz. </w:t>
      </w:r>
      <w:r w:rsidR="00F920F6" w:rsidRPr="00A83648">
        <w:rPr>
          <w:rFonts w:asciiTheme="majorHAnsi" w:hAnsiTheme="majorHAnsi" w:cstheme="majorHAnsi"/>
          <w:sz w:val="22"/>
          <w:szCs w:val="22"/>
        </w:rPr>
        <w:t>1</w:t>
      </w:r>
      <w:r w:rsidR="00F920F6">
        <w:rPr>
          <w:rFonts w:asciiTheme="majorHAnsi" w:hAnsiTheme="majorHAnsi" w:cstheme="majorHAnsi"/>
          <w:sz w:val="22"/>
          <w:szCs w:val="22"/>
        </w:rPr>
        <w:t>710</w:t>
      </w:r>
      <w:r w:rsidRPr="00A83648">
        <w:rPr>
          <w:rFonts w:asciiTheme="majorHAnsi" w:hAnsiTheme="majorHAnsi" w:cstheme="majorHAnsi"/>
          <w:sz w:val="22"/>
          <w:szCs w:val="22"/>
        </w:rPr>
        <w:t>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D9F75EF" w14:textId="5CAF34AF" w:rsidR="009F40F2" w:rsidRPr="00A83648" w:rsidRDefault="6D912644" w:rsidP="6D912644">
      <w:pPr>
        <w:tabs>
          <w:tab w:val="left" w:pos="1080"/>
          <w:tab w:val="left" w:pos="900"/>
        </w:tabs>
        <w:spacing w:line="240" w:lineRule="atLeast"/>
        <w:ind w:left="-1" w:hanging="2"/>
        <w:jc w:val="center"/>
        <w:rPr>
          <w:sz w:val="22"/>
          <w:szCs w:val="22"/>
        </w:rPr>
      </w:pPr>
      <w:r w:rsidRPr="6D912644">
        <w:rPr>
          <w:b/>
          <w:bCs/>
          <w:sz w:val="22"/>
          <w:szCs w:val="22"/>
        </w:rPr>
        <w:t xml:space="preserve"> </w:t>
      </w:r>
      <w:bookmarkStart w:id="0" w:name="_Hlk118896236"/>
      <w:r w:rsidRPr="6D912644">
        <w:rPr>
          <w:b/>
          <w:bCs/>
          <w:sz w:val="22"/>
          <w:szCs w:val="22"/>
        </w:rPr>
        <w:t>„Sukcesywna dostawa odczynników, laboratoryjnych wyrobów szklanych, plastików, pipet i</w:t>
      </w:r>
      <w:r w:rsidR="00E67797">
        <w:rPr>
          <w:b/>
          <w:bCs/>
          <w:sz w:val="22"/>
          <w:szCs w:val="22"/>
        </w:rPr>
        <w:t> </w:t>
      </w:r>
      <w:r w:rsidRPr="6D912644">
        <w:rPr>
          <w:b/>
          <w:bCs/>
          <w:sz w:val="22"/>
          <w:szCs w:val="22"/>
        </w:rPr>
        <w:t xml:space="preserve">akcesoriów laboratoryjnych”  </w:t>
      </w:r>
    </w:p>
    <w:p w14:paraId="6FEF0A38" w14:textId="68E331FF" w:rsidR="009F40F2" w:rsidRPr="00A83648" w:rsidRDefault="6D912644" w:rsidP="6D912644">
      <w:pPr>
        <w:jc w:val="center"/>
        <w:rPr>
          <w:rStyle w:val="Uwydatnienie"/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b/>
          <w:bCs/>
          <w:i/>
          <w:iCs/>
          <w:sz w:val="22"/>
          <w:szCs w:val="22"/>
          <w:u w:val="dotted"/>
        </w:rPr>
        <w:t xml:space="preserve"> 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DA3E5C0" w14:textId="2179FD7B" w:rsidR="009F40F2" w:rsidRPr="00721BEA" w:rsidRDefault="6D912644" w:rsidP="6D912644">
      <w:pPr>
        <w:jc w:val="both"/>
        <w:rPr>
          <w:rStyle w:val="Uwydatnienie"/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Style w:val="Uwydatnienie"/>
          <w:rFonts w:asciiTheme="majorHAnsi" w:hAnsiTheme="majorHAnsi" w:cstheme="majorBidi"/>
          <w:sz w:val="22"/>
          <w:szCs w:val="22"/>
        </w:rPr>
        <w:t>Znak:</w:t>
      </w:r>
      <w:r w:rsidR="00721BEA" w:rsidRPr="00721BEA">
        <w:rPr>
          <w:rStyle w:val="Uwydatnienie"/>
          <w:rFonts w:asciiTheme="majorHAnsi" w:hAnsiTheme="majorHAnsi" w:cstheme="majorBidi"/>
          <w:b/>
          <w:bCs/>
          <w:sz w:val="22"/>
          <w:szCs w:val="22"/>
        </w:rPr>
        <w:t>WB-372/</w:t>
      </w:r>
      <w:r w:rsidR="00BF4289">
        <w:rPr>
          <w:rStyle w:val="Uwydatnienie"/>
          <w:rFonts w:asciiTheme="majorHAnsi" w:hAnsiTheme="majorHAnsi" w:cstheme="majorBidi"/>
          <w:b/>
          <w:bCs/>
          <w:sz w:val="22"/>
          <w:szCs w:val="22"/>
        </w:rPr>
        <w:t>IM/Z-30/22</w:t>
      </w:r>
    </w:p>
    <w:bookmarkEnd w:id="0"/>
    <w:p w14:paraId="53B1D04A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97BAFEE" w14:textId="5785E99E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617EEAE" w14:textId="71B5B398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2B7CDAC" w14:textId="405A1846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B6218A2" w14:textId="5D57EB9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0F52F63" w14:textId="2927994C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30B227" w14:textId="3A2F6F30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8C9695E" w14:textId="13AA9C63" w:rsidR="00CF566C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33E3BF6" w14:textId="558F1678" w:rsidR="0029736D" w:rsidRDefault="0029736D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D5DEC15" w14:textId="77777777" w:rsidR="0029736D" w:rsidRPr="00A83648" w:rsidRDefault="0029736D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1383571" w14:textId="0466E913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FC66206" w14:textId="77777777" w:rsidR="0029736D" w:rsidRDefault="0029736D" w:rsidP="0029736D">
      <w:pPr>
        <w:rPr>
          <w:rFonts w:ascii="Calibri Light" w:hAnsi="Calibri Light" w:cs="Calibri Light"/>
          <w:i/>
          <w:iCs/>
          <w:lang w:val="cs-CZ"/>
        </w:rPr>
      </w:pPr>
      <w:r w:rsidRPr="0029736D">
        <w:rPr>
          <w:rFonts w:ascii="Calibri Light" w:hAnsi="Calibri Light" w:cs="Calibri Light"/>
          <w:i/>
          <w:iCs/>
          <w:lang w:val="cs-CZ"/>
        </w:rPr>
        <w:t>Program finansowany ze środków Narodowego Centrum Nauki</w:t>
      </w:r>
      <w:r>
        <w:rPr>
          <w:rFonts w:ascii="Calibri Light" w:hAnsi="Calibri Light" w:cs="Calibri Light"/>
          <w:i/>
          <w:iCs/>
          <w:lang w:val="cs-CZ"/>
        </w:rPr>
        <w:t>:</w:t>
      </w:r>
    </w:p>
    <w:p w14:paraId="185743E1" w14:textId="49C904C5" w:rsidR="0029736D" w:rsidRPr="0029736D" w:rsidRDefault="0029736D" w:rsidP="0029736D">
      <w:pPr>
        <w:rPr>
          <w:rFonts w:ascii="Calibri Light" w:hAnsi="Calibri Light" w:cs="Calibri Light"/>
        </w:rPr>
      </w:pPr>
      <w:r w:rsidRPr="0029736D">
        <w:rPr>
          <w:rFonts w:ascii="Calibri Light" w:hAnsi="Calibri Light" w:cs="Calibri Light"/>
        </w:rPr>
        <w:t xml:space="preserve"> Preludium Bis3: </w:t>
      </w:r>
      <w:r w:rsidRPr="0029736D">
        <w:rPr>
          <w:rFonts w:ascii="Calibri Light" w:hAnsi="Calibri Light" w:cs="Calibri Light"/>
          <w:i/>
          <w:iCs/>
          <w:lang w:val="cs-CZ"/>
        </w:rPr>
        <w:t>UMO-2021/43/O/NZ6/00008 </w:t>
      </w:r>
      <w:r w:rsidRPr="0029736D">
        <w:rPr>
          <w:rFonts w:ascii="Calibri Light" w:hAnsi="Calibri Light" w:cs="Calibri Light"/>
          <w:lang w:val="cs-CZ"/>
        </w:rPr>
        <w:t>Tytuł projektu:</w:t>
      </w:r>
      <w:r>
        <w:rPr>
          <w:rFonts w:ascii="Calibri Light" w:hAnsi="Calibri Light" w:cs="Calibri Light"/>
          <w:lang w:val="cs-CZ"/>
        </w:rPr>
        <w:t xml:space="preserve"> </w:t>
      </w:r>
      <w:r w:rsidRPr="0029736D">
        <w:rPr>
          <w:rFonts w:ascii="Calibri Light" w:hAnsi="Calibri Light" w:cs="Calibri Light"/>
          <w:i/>
          <w:iCs/>
          <w:lang w:val="cs-CZ"/>
        </w:rPr>
        <w:t>Biologiczna rola sRNA OmrA i jego wpływ na poziom zjadliwości i zdolności adaptacyjnych enteropatogenu Yersinia enterocolitica</w:t>
      </w:r>
    </w:p>
    <w:p w14:paraId="66D3C1C3" w14:textId="77777777" w:rsidR="0029736D" w:rsidRPr="0029736D" w:rsidRDefault="0029736D" w:rsidP="0029736D">
      <w:pPr>
        <w:rPr>
          <w:rFonts w:ascii="Calibri Light" w:hAnsi="Calibri Light" w:cs="Calibri Light"/>
        </w:rPr>
      </w:pPr>
    </w:p>
    <w:p w14:paraId="5B961D75" w14:textId="1934A4FF" w:rsidR="0029736D" w:rsidRPr="0029736D" w:rsidRDefault="0029736D" w:rsidP="0029736D">
      <w:pPr>
        <w:rPr>
          <w:rFonts w:ascii="Calibri Light" w:hAnsi="Calibri Light" w:cs="Calibri Light"/>
        </w:rPr>
      </w:pPr>
      <w:r w:rsidRPr="0029736D">
        <w:rPr>
          <w:rFonts w:ascii="Calibri Light" w:hAnsi="Calibri Light" w:cs="Calibri Light"/>
        </w:rPr>
        <w:t xml:space="preserve">Preludium-17: </w:t>
      </w:r>
      <w:r w:rsidRPr="0029736D">
        <w:rPr>
          <w:rFonts w:ascii="Calibri Light" w:hAnsi="Calibri Light" w:cs="Calibri Light"/>
          <w:i/>
          <w:iCs/>
        </w:rPr>
        <w:t xml:space="preserve">UMO-2019/33/N/NZ1/00484 </w:t>
      </w:r>
      <w:r w:rsidRPr="0029736D">
        <w:rPr>
          <w:rFonts w:ascii="Calibri Light" w:hAnsi="Calibri Light" w:cs="Calibri Light"/>
          <w:lang w:val="cs-CZ"/>
        </w:rPr>
        <w:t>Tytuł projektu: </w:t>
      </w:r>
      <w:r w:rsidRPr="0029736D">
        <w:rPr>
          <w:rFonts w:ascii="Calibri Light" w:hAnsi="Calibri Light" w:cs="Calibri Light"/>
          <w:i/>
          <w:iCs/>
          <w:lang w:val="cs-CZ"/>
        </w:rPr>
        <w:t>Rola dwóch paralogów RyhB w patofizjologii Yersinia enterocolitica</w:t>
      </w:r>
    </w:p>
    <w:p w14:paraId="7B083A24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972A6E9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A04A92A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790830B" w14:textId="7E7A0452" w:rsidR="009F40F2" w:rsidRPr="00A83648" w:rsidRDefault="009F40F2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</w:rPr>
        <w:br w:type="page"/>
      </w:r>
    </w:p>
    <w:p w14:paraId="284BD121" w14:textId="6DD2DAF8" w:rsidR="00E67797" w:rsidRPr="00A83648" w:rsidRDefault="00E67797" w:rsidP="00E6779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7FA2B47A" w14:textId="0FC9404E" w:rsidR="00E67797" w:rsidRPr="00E67797" w:rsidRDefault="00E67797" w:rsidP="00E67797">
      <w:pPr>
        <w:pStyle w:val="Akapitzlist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</w:rPr>
      </w:pPr>
      <w:r w:rsidRPr="00E67797">
        <w:rPr>
          <w:rFonts w:asciiTheme="majorHAnsi" w:hAnsiTheme="majorHAnsi" w:cstheme="majorHAnsi"/>
          <w:sz w:val="22"/>
          <w:szCs w:val="22"/>
        </w:rPr>
        <w:t>Zamawiającym jest:</w:t>
      </w:r>
    </w:p>
    <w:p w14:paraId="1FF2B631" w14:textId="24915B1E" w:rsidR="00E67797" w:rsidRPr="00E67797" w:rsidRDefault="00E67797" w:rsidP="00E67797">
      <w:pPr>
        <w:ind w:left="1134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</w:t>
      </w:r>
      <w:r w:rsidRPr="00E67797">
        <w:rPr>
          <w:rFonts w:asciiTheme="majorHAnsi" w:eastAsia="Calibri" w:hAnsiTheme="majorHAnsi" w:cstheme="majorHAnsi"/>
          <w:b/>
          <w:bCs/>
          <w:sz w:val="22"/>
          <w:szCs w:val="22"/>
        </w:rPr>
        <w:t>UNIWERSYTET WARSZAWSKI</w:t>
      </w:r>
    </w:p>
    <w:p w14:paraId="3D4431AB" w14:textId="77777777" w:rsidR="00E67797" w:rsidRPr="00E67797" w:rsidRDefault="00E67797" w:rsidP="00E67797">
      <w:pPr>
        <w:spacing w:before="60"/>
        <w:ind w:left="1560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E67797">
        <w:rPr>
          <w:rFonts w:asciiTheme="majorHAnsi" w:eastAsia="Calibri" w:hAnsiTheme="majorHAnsi" w:cstheme="majorHAnsi"/>
          <w:b/>
          <w:bCs/>
          <w:sz w:val="22"/>
          <w:szCs w:val="22"/>
        </w:rPr>
        <w:t>ul. Krakowskie Przedmieście 26/28</w:t>
      </w:r>
    </w:p>
    <w:p w14:paraId="7C324BFA" w14:textId="77777777" w:rsidR="00E67797" w:rsidRPr="00E67797" w:rsidRDefault="00E67797" w:rsidP="00E67797">
      <w:pPr>
        <w:spacing w:before="60"/>
        <w:ind w:left="1560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E67797">
        <w:rPr>
          <w:rFonts w:asciiTheme="majorHAnsi" w:eastAsia="Calibri" w:hAnsiTheme="majorHAnsi" w:cstheme="majorHAnsi"/>
          <w:b/>
          <w:bCs/>
          <w:sz w:val="22"/>
          <w:szCs w:val="22"/>
        </w:rPr>
        <w:t>00-927 Warszawa</w:t>
      </w:r>
    </w:p>
    <w:p w14:paraId="3099B460" w14:textId="77777777" w:rsidR="00E67797" w:rsidRPr="00E67797" w:rsidRDefault="00E67797" w:rsidP="00E67797">
      <w:pPr>
        <w:spacing w:before="60"/>
        <w:ind w:left="1560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E67797">
        <w:rPr>
          <w:rFonts w:asciiTheme="majorHAnsi" w:eastAsia="Calibri" w:hAnsiTheme="majorHAnsi" w:cstheme="majorHAnsi"/>
          <w:b/>
          <w:bCs/>
          <w:sz w:val="22"/>
          <w:szCs w:val="22"/>
        </w:rPr>
        <w:t>NIP: 525-001-12-66,  REGON: 000001258</w:t>
      </w:r>
    </w:p>
    <w:p w14:paraId="13A998C6" w14:textId="77777777" w:rsidR="00E67797" w:rsidRPr="00A83648" w:rsidRDefault="00E67797" w:rsidP="00E67797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C56ABDC" w14:textId="6305A674" w:rsidR="00E67797" w:rsidRPr="00E67797" w:rsidRDefault="00E67797" w:rsidP="00E67797">
      <w:pPr>
        <w:pStyle w:val="Akapitzlist"/>
        <w:numPr>
          <w:ilvl w:val="0"/>
          <w:numId w:val="41"/>
        </w:num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67797">
        <w:rPr>
          <w:rFonts w:asciiTheme="majorHAnsi" w:eastAsia="Calibri" w:hAnsiTheme="majorHAnsi" w:cstheme="majorHAnsi"/>
          <w:sz w:val="22"/>
          <w:szCs w:val="22"/>
        </w:rPr>
        <w:t>Jednostka prowadząca postępowanie :</w:t>
      </w:r>
    </w:p>
    <w:p w14:paraId="540BFF25" w14:textId="77777777" w:rsidR="00E67797" w:rsidRPr="00A83648" w:rsidRDefault="00E67797" w:rsidP="00E67797">
      <w:pPr>
        <w:spacing w:before="60"/>
        <w:ind w:left="141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6B4821C1" w14:textId="77777777" w:rsidR="00E67797" w:rsidRPr="00A83648" w:rsidRDefault="00E67797" w:rsidP="00E67797">
      <w:pPr>
        <w:spacing w:before="60"/>
        <w:ind w:left="141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4943D7DB" w14:textId="77777777" w:rsidR="00E67797" w:rsidRPr="00A83648" w:rsidRDefault="00E67797" w:rsidP="00E67797">
      <w:pPr>
        <w:spacing w:before="60"/>
        <w:ind w:left="141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4ABCD861" w14:textId="77777777" w:rsidR="00E67797" w:rsidRPr="00A83648" w:rsidRDefault="00E67797" w:rsidP="00E67797">
      <w:pPr>
        <w:spacing w:before="60"/>
        <w:ind w:left="141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49C5E9B0" w14:textId="77777777" w:rsidR="00E67797" w:rsidRPr="00A83648" w:rsidRDefault="00E67797" w:rsidP="00E67797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09DC886" w14:textId="2C79FC42" w:rsidR="00E67797" w:rsidRPr="00E67797" w:rsidRDefault="00E67797" w:rsidP="00E67797">
      <w:pPr>
        <w:ind w:left="993"/>
        <w:rPr>
          <w:rStyle w:val="Uwydatnienie"/>
          <w:rFonts w:asciiTheme="majorHAnsi" w:eastAsia="Calibri" w:hAnsiTheme="majorHAnsi" w:cstheme="majorHAnsi"/>
          <w:b/>
          <w:i w:val="0"/>
          <w:iCs w:val="0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34AD787C" w14:textId="1B2CCC13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06F7FB92" w:rsidR="00895E51" w:rsidRPr="00A83648" w:rsidRDefault="6D912644" w:rsidP="6D912644">
      <w:pPr>
        <w:pStyle w:val="Akapitzlist"/>
        <w:numPr>
          <w:ilvl w:val="0"/>
          <w:numId w:val="4"/>
        </w:numPr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Strona internetowa prowadzonego postępowania dostępna jest pod adresem</w:t>
      </w:r>
      <w:r w:rsidR="00A20799" w:rsidRPr="00684466">
        <w:rPr>
          <w:rFonts w:asciiTheme="majorHAnsi" w:hAnsiTheme="majorHAnsi" w:cstheme="majorBidi"/>
          <w:sz w:val="22"/>
          <w:szCs w:val="22"/>
          <w:highlight w:val="yellow"/>
        </w:rPr>
        <w:t>https://dzp.uw.edu.pl/dostawy/wb-372-im-z-30-22</w:t>
      </w:r>
    </w:p>
    <w:p w14:paraId="147FB23C" w14:textId="3A6B06E2" w:rsidR="009F40F2" w:rsidRPr="00A83648" w:rsidRDefault="6D912644" w:rsidP="6D912644">
      <w:pPr>
        <w:pStyle w:val="Akapitzlist"/>
        <w:numPr>
          <w:ilvl w:val="0"/>
          <w:numId w:val="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Po adresem wskazanym w ust. 1 udostępniane będą wszelkie zmiany SWZ oraz inne dokumenty zamówienia bezpośrednio związane z prowadzonym postępowaniem o udzielenie zamówienia. 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Pr="6D912644">
        <w:rPr>
          <w:rFonts w:asciiTheme="majorHAnsi" w:hAnsiTheme="majorHAnsi" w:cstheme="majorBidi"/>
          <w:b/>
          <w:bCs/>
          <w:sz w:val="22"/>
          <w:szCs w:val="22"/>
        </w:rPr>
        <w:t>miniPortalu</w:t>
      </w:r>
      <w:proofErr w:type="spellEnd"/>
      <w:r w:rsidRPr="6D912644">
        <w:rPr>
          <w:rFonts w:asciiTheme="majorHAnsi" w:hAnsiTheme="majorHAnsi" w:cstheme="majorBidi"/>
          <w:b/>
          <w:bCs/>
          <w:sz w:val="22"/>
          <w:szCs w:val="22"/>
        </w:rPr>
        <w:t>.</w:t>
      </w:r>
    </w:p>
    <w:p w14:paraId="39209D94" w14:textId="7C20535F" w:rsidR="00FE407C" w:rsidRPr="00E67797" w:rsidRDefault="00E67797" w:rsidP="00C35A55">
      <w:pPr>
        <w:pStyle w:val="Nagwek1"/>
        <w:numPr>
          <w:ilvl w:val="0"/>
          <w:numId w:val="3"/>
        </w:numPr>
        <w:ind w:hanging="218"/>
        <w:jc w:val="both"/>
        <w:rPr>
          <w:rFonts w:cstheme="majorHAnsi"/>
          <w:sz w:val="22"/>
          <w:szCs w:val="22"/>
        </w:rPr>
      </w:pPr>
      <w:r w:rsidRPr="00E67797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5AF06FCD" w14:textId="5F96553B" w:rsidR="009F40F2" w:rsidRPr="00A83648" w:rsidRDefault="009F40F2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1129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18B6C068" w:rsidR="00FE407C" w:rsidRPr="00A83648" w:rsidRDefault="00FE407C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Zamówienie zostało podzielone na części. Wykonawca może złożyć ofertę na jedną lub więcej części zamówienia.</w:t>
      </w:r>
    </w:p>
    <w:p w14:paraId="36ABB717" w14:textId="77777777" w:rsidR="007B36C8" w:rsidRPr="00A83648" w:rsidRDefault="00FE407C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Wszelkie postanowienia niniejszej SWZ stosuje się do każdej z części zamówienia chyba, że wyraźnie zaznaczono, iż dane postanowienie ma zastosowanie wyłącznie do wskazanej części zamówienia.</w:t>
      </w:r>
    </w:p>
    <w:p w14:paraId="064C47A1" w14:textId="4EB3D597" w:rsidR="00147FB0" w:rsidRPr="00A83648" w:rsidRDefault="00147FB0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udzieli zamówienia wykonawcy,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zm.). W niniejszym postępowaniu mają zastosowanie zakazy dotyczące podwykonawców, dostawców oraz podmiotów trzecich określone w Rozporządzeniu, o którym mowa w zdaniu poprzedzającym </w:t>
      </w:r>
    </w:p>
    <w:p w14:paraId="2550913A" w14:textId="26A823BA" w:rsidR="00FE407C" w:rsidRPr="00A83648" w:rsidRDefault="00FE407C" w:rsidP="00147FB0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86CA33E" w14:textId="2EBA327D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5F15B571" w:rsidR="000B2C8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Zamówienie obejmuje dostawę odczynników, laboratoryjnych wyrobów szklanych, plastików, pipet i akcesoriów laboratoryjnych.</w:t>
      </w:r>
    </w:p>
    <w:p w14:paraId="4F9150B1" w14:textId="77777777" w:rsidR="005C4C2C" w:rsidRPr="00A8364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Zamówienie zostało podzielone na części:</w:t>
      </w:r>
    </w:p>
    <w:p w14:paraId="2FED42EF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1: Dostawa pipet z akcesoriami</w:t>
      </w:r>
    </w:p>
    <w:p w14:paraId="3C2D8F62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2: Dostawa artykułów plastikowych lub szklanych do oznaczeń i hodowli komórkowych</w:t>
      </w:r>
    </w:p>
    <w:p w14:paraId="3AE28429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3: Dostawa podłoża mikrobiologicznego i dodatków do nich</w:t>
      </w:r>
    </w:p>
    <w:p w14:paraId="1EF4DF68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4: Dostawa zestawów do pracy z kwasami nukleinowymi</w:t>
      </w:r>
    </w:p>
    <w:p w14:paraId="332B4956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5: Dostawa linii komórkowych, przeciwciał, zestawów do oznaczenia mRNA wraz z odczynnikami</w:t>
      </w:r>
    </w:p>
    <w:p w14:paraId="1EA936B2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lastRenderedPageBreak/>
        <w:t>Część 6: Dostawa podłoża do hodowli komórkowych z dodatkowymi odczynnikami do oznaczeń biotechnologicznych</w:t>
      </w:r>
    </w:p>
    <w:p w14:paraId="5CA404F5" w14:textId="77777777" w:rsidR="00FE4223" w:rsidRPr="00616045" w:rsidRDefault="00FE4223" w:rsidP="00616045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7: Dostawa enzymów i odczynników do oznaczeń RNA, DNA i białek</w:t>
      </w:r>
    </w:p>
    <w:p w14:paraId="1B5F10FC" w14:textId="77777777" w:rsidR="00FE4223" w:rsidRPr="00FE4223" w:rsidRDefault="00FE4223" w:rsidP="00616045">
      <w:pPr>
        <w:pStyle w:val="Akapitzlist"/>
        <w:ind w:left="360"/>
        <w:rPr>
          <w:b/>
          <w:bCs/>
        </w:rPr>
      </w:pPr>
      <w:r w:rsidRPr="00616045">
        <w:rPr>
          <w:rFonts w:ascii="Calibri Light" w:hAnsi="Calibri Light" w:cs="Calibri Light"/>
          <w:b/>
          <w:bCs/>
          <w:sz w:val="22"/>
          <w:szCs w:val="22"/>
        </w:rPr>
        <w:t>Część 8: Dostawa pipet jednorazowych, rękawiczek i pojemników laboratoryjnych</w:t>
      </w:r>
    </w:p>
    <w:p w14:paraId="0B762C62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A176A30" w14:textId="2D2D39E9" w:rsidR="000B2C8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Sprzęt musi być fabrycznie nowy, nie używany</w:t>
      </w:r>
      <w:r w:rsidR="00CD1AA3">
        <w:rPr>
          <w:rFonts w:asciiTheme="majorHAnsi" w:hAnsiTheme="majorHAnsi" w:cstheme="majorBidi"/>
          <w:sz w:val="22"/>
          <w:szCs w:val="22"/>
        </w:rPr>
        <w:t>.</w:t>
      </w:r>
    </w:p>
    <w:p w14:paraId="30C3B9EB" w14:textId="1D670315" w:rsidR="007C18B0" w:rsidRDefault="007C18B0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W przypadku wskazania w opisie przedmiotu zamówienia znaków towarowych lub nazw handlowych produktów zamieszczony został także opis wymaganych rozwiązań równoważnych. Zamawiający w takiej sytuacji każdorazowo wymaga dostarczenia wskazanego w opisie przedmiotu zamówienia produktu lub produktu równoważnego spełniającego wymogi (kryteria) określone przez Zamawiającego. Dowód w zakresie równoważności oferowanych produktów obciąża Wykonawcę. </w:t>
      </w:r>
    </w:p>
    <w:p w14:paraId="73FB3F2F" w14:textId="08B3E3CA" w:rsidR="00A23618" w:rsidRDefault="00A23618" w:rsidP="00A23618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6808FE78" w14:textId="7C472250" w:rsidR="005C4C2C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Dostawa wraz z wniesieniem sprzętu w miejsce wskazane przez Zamawiającego odbędzie się do </w:t>
      </w:r>
      <w:r w:rsidR="00BF4289" w:rsidRPr="6D912644">
        <w:rPr>
          <w:rFonts w:asciiTheme="majorHAnsi" w:hAnsiTheme="majorHAnsi" w:cstheme="majorBidi"/>
          <w:sz w:val="22"/>
          <w:szCs w:val="22"/>
        </w:rPr>
        <w:t>następując</w:t>
      </w:r>
      <w:r w:rsidR="00BF4289">
        <w:rPr>
          <w:rFonts w:asciiTheme="majorHAnsi" w:hAnsiTheme="majorHAnsi" w:cstheme="majorBidi"/>
          <w:sz w:val="22"/>
          <w:szCs w:val="22"/>
        </w:rPr>
        <w:t>ej</w:t>
      </w:r>
      <w:r w:rsidR="00BF4289" w:rsidRPr="6D912644">
        <w:rPr>
          <w:rFonts w:asciiTheme="majorHAnsi" w:hAnsiTheme="majorHAnsi" w:cstheme="majorBidi"/>
          <w:sz w:val="22"/>
          <w:szCs w:val="22"/>
        </w:rPr>
        <w:t xml:space="preserve"> </w:t>
      </w:r>
      <w:r w:rsidRPr="6D912644">
        <w:rPr>
          <w:rFonts w:asciiTheme="majorHAnsi" w:hAnsiTheme="majorHAnsi" w:cstheme="majorBidi"/>
          <w:sz w:val="22"/>
          <w:szCs w:val="22"/>
        </w:rPr>
        <w:t>lokalizacji:</w:t>
      </w:r>
    </w:p>
    <w:p w14:paraId="092B138B" w14:textId="018E6E0D" w:rsidR="6D912644" w:rsidRPr="00FD3316" w:rsidRDefault="6D912644" w:rsidP="00616045">
      <w:pPr>
        <w:pStyle w:val="Akapitzlist"/>
        <w:jc w:val="both"/>
        <w:rPr>
          <w:rFonts w:ascii="Calibri Light" w:eastAsiaTheme="majorEastAsia" w:hAnsi="Calibri Light" w:cs="Calibri Light"/>
          <w:i/>
          <w:iCs/>
          <w:sz w:val="22"/>
          <w:szCs w:val="22"/>
        </w:rPr>
      </w:pPr>
      <w:r w:rsidRPr="00FD3316">
        <w:rPr>
          <w:rFonts w:ascii="Calibri Light" w:eastAsiaTheme="majorEastAsia" w:hAnsi="Calibri Light" w:cs="Calibri Light"/>
          <w:i/>
          <w:iCs/>
          <w:sz w:val="22"/>
          <w:szCs w:val="22"/>
        </w:rPr>
        <w:t>Wydział Biologii, ul Miecznikowa 1, 02-096 Warszaw</w:t>
      </w:r>
    </w:p>
    <w:p w14:paraId="7DADFC04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1F5832" w14:textId="77777777" w:rsidR="008F284F" w:rsidRDefault="008F284F" w:rsidP="008F284F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BF69BF" w14:textId="4C90462A" w:rsidR="009F40F2" w:rsidRPr="00A8364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Opis przedmiotu zamówienia w oparciu o Wspólny Słownik Zamówień (CPV):</w:t>
      </w:r>
    </w:p>
    <w:p w14:paraId="1A7C07F7" w14:textId="77777777" w:rsidR="00895E51" w:rsidRPr="00A83648" w:rsidRDefault="00895E51" w:rsidP="00895E5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406"/>
      </w:tblGrid>
      <w:tr w:rsidR="00A900BB" w:rsidRPr="00A83648" w14:paraId="10BD173A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C68" w14:textId="3ACF6F3A" w:rsidR="00A900BB" w:rsidRPr="00A83648" w:rsidRDefault="00895E51" w:rsidP="00994207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Kod CPV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777" w14:textId="22F17877" w:rsidR="00A900BB" w:rsidRPr="00BF4289" w:rsidRDefault="00A900BB" w:rsidP="6D91264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994207" w:rsidRPr="00A83648" w14:paraId="221F54E6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12B" w14:textId="17FB005C" w:rsidR="00994207" w:rsidRPr="00A83648" w:rsidRDefault="00994207" w:rsidP="6D9126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>Części 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EC3" w14:textId="301EA6CB" w:rsidR="00994207" w:rsidRPr="00BF4289" w:rsidRDefault="00994207" w:rsidP="6D91264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38437000-7 pipety i akcesoria laboratoryjne  </w:t>
            </w:r>
          </w:p>
        </w:tc>
      </w:tr>
      <w:tr w:rsidR="00616045" w:rsidRPr="00A83648" w14:paraId="19590412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AD20" w14:textId="2C105A46" w:rsidR="00616045" w:rsidRPr="6D912644" w:rsidRDefault="00616045" w:rsidP="0061604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 xml:space="preserve">Części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4BF6" w14:textId="7BA619E7" w:rsidR="00616045" w:rsidRPr="00BF4289" w:rsidRDefault="00BF4289" w:rsidP="00753E0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sz w:val="22"/>
                <w:szCs w:val="22"/>
              </w:rPr>
              <w:t>33793000-5 – laboratoryjne wyroby szklane</w:t>
            </w:r>
          </w:p>
        </w:tc>
      </w:tr>
      <w:tr w:rsidR="00616045" w:rsidRPr="00A83648" w14:paraId="487329C3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6826" w14:textId="38F2C2B1" w:rsidR="00616045" w:rsidRPr="6D912644" w:rsidRDefault="00616045" w:rsidP="0061604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 xml:space="preserve">Części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63B" w14:textId="643E3F13" w:rsidR="00616045" w:rsidRPr="00BF4289" w:rsidRDefault="00BF4289" w:rsidP="0061604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33696300-8 odczynniki chemiczne</w:t>
            </w:r>
          </w:p>
        </w:tc>
      </w:tr>
      <w:tr w:rsidR="00616045" w:rsidRPr="00A83648" w14:paraId="1A67E7B7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645C" w14:textId="7AF39119" w:rsidR="00616045" w:rsidRPr="6D912644" w:rsidRDefault="00616045" w:rsidP="0061604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 xml:space="preserve">Części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C881" w14:textId="4FA515CD" w:rsidR="00616045" w:rsidRPr="00BF4289" w:rsidRDefault="00616045" w:rsidP="0061604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33696300-8 odczynniki chemiczne  </w:t>
            </w:r>
          </w:p>
        </w:tc>
      </w:tr>
      <w:tr w:rsidR="00616045" w:rsidRPr="00A83648" w14:paraId="4CF82B25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0BB5" w14:textId="73F6DF1D" w:rsidR="00616045" w:rsidRPr="6D912644" w:rsidRDefault="00616045" w:rsidP="0061604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 xml:space="preserve">Części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E962" w14:textId="0B42394F" w:rsidR="00616045" w:rsidRPr="00BF4289" w:rsidRDefault="00616045" w:rsidP="0061604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33696300-8 odczynniki chemiczne  </w:t>
            </w:r>
          </w:p>
        </w:tc>
      </w:tr>
      <w:tr w:rsidR="00616045" w:rsidRPr="00A83648" w14:paraId="31746FBC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A2E3" w14:textId="30DF175C" w:rsidR="00616045" w:rsidRPr="6D912644" w:rsidRDefault="00616045" w:rsidP="0061604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 xml:space="preserve">Części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6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BB7" w14:textId="069D4B64" w:rsidR="00616045" w:rsidRPr="00BF4289" w:rsidRDefault="00616045" w:rsidP="0061604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33696300-8 odczynniki chemiczne  </w:t>
            </w:r>
          </w:p>
        </w:tc>
      </w:tr>
      <w:tr w:rsidR="00616045" w:rsidRPr="00A83648" w14:paraId="61A0D262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5A7C" w14:textId="244AFFD1" w:rsidR="00616045" w:rsidRPr="6D912644" w:rsidRDefault="00616045" w:rsidP="00616045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6D912644">
              <w:rPr>
                <w:rFonts w:asciiTheme="majorHAnsi" w:hAnsiTheme="majorHAnsi" w:cstheme="majorBidi"/>
                <w:sz w:val="22"/>
                <w:szCs w:val="22"/>
              </w:rPr>
              <w:t xml:space="preserve">Części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7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230F" w14:textId="5B61FDF0" w:rsidR="00616045" w:rsidRPr="00BF4289" w:rsidRDefault="00616045" w:rsidP="0061604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33696300-8 odczynniki chemiczne  </w:t>
            </w:r>
          </w:p>
        </w:tc>
      </w:tr>
      <w:tr w:rsidR="00616045" w:rsidRPr="00A83648" w14:paraId="15D6BA91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FB5" w14:textId="4FFB0A35" w:rsidR="00616045" w:rsidRPr="00BF4289" w:rsidRDefault="00616045" w:rsidP="6D912644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BF4289">
              <w:rPr>
                <w:rFonts w:asciiTheme="majorHAnsi" w:hAnsiTheme="majorHAnsi" w:cstheme="majorBidi"/>
                <w:sz w:val="22"/>
                <w:szCs w:val="22"/>
              </w:rPr>
              <w:t>Części 8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A95" w14:textId="77777777" w:rsidR="00994207" w:rsidRDefault="00BF4289" w:rsidP="6D912644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38437000-7 pipety i akcesoria laboratoryjne </w:t>
            </w:r>
          </w:p>
          <w:p w14:paraId="4D0A0E63" w14:textId="24BD22BE" w:rsidR="00BF4289" w:rsidRPr="00BF4289" w:rsidRDefault="00BF4289" w:rsidP="6D91264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BF4289">
              <w:rPr>
                <w:rFonts w:ascii="Calibri Light" w:hAnsi="Calibri Light" w:cs="Calibri Light"/>
                <w:sz w:val="22"/>
                <w:szCs w:val="22"/>
              </w:rPr>
              <w:t>18424000-7 - rękawice</w:t>
            </w:r>
          </w:p>
        </w:tc>
      </w:tr>
    </w:tbl>
    <w:p w14:paraId="41BD2B24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926E862" w14:textId="77777777" w:rsidR="00550327" w:rsidRPr="00A83648" w:rsidRDefault="009F40F2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7C48B7A0" w14:textId="4F1E0291" w:rsidR="009F40F2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1a do SWZ dla części 1</w:t>
      </w:r>
    </w:p>
    <w:p w14:paraId="731CC682" w14:textId="2EAF1B00" w:rsidR="00550327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1b do SWZ dla części 2</w:t>
      </w:r>
    </w:p>
    <w:p w14:paraId="0F328A7F" w14:textId="43D7C4D6" w:rsidR="00550327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1c do SWZ dla części 3</w:t>
      </w:r>
    </w:p>
    <w:p w14:paraId="0A7641D2" w14:textId="5CF0C5B2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1d do SWZ dla części 4</w:t>
      </w:r>
    </w:p>
    <w:p w14:paraId="75C7C76A" w14:textId="1A97093D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1e do SWZ dla części 5</w:t>
      </w:r>
    </w:p>
    <w:p w14:paraId="0C3A1B35" w14:textId="46745C2C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1f do SWZ dla części 6</w:t>
      </w:r>
    </w:p>
    <w:p w14:paraId="5E4DE033" w14:textId="12DD480A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1g do SWZ dla części 7</w:t>
      </w:r>
    </w:p>
    <w:p w14:paraId="091E6B27" w14:textId="11C5C5B4" w:rsidR="6D912644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eastAsia="Calibri" w:hAnsiTheme="majorHAnsi" w:cstheme="majorBidi"/>
          <w:sz w:val="22"/>
          <w:szCs w:val="22"/>
        </w:rPr>
        <w:t>Załącznik nr 1h do SWZ dla części 8</w:t>
      </w:r>
    </w:p>
    <w:p w14:paraId="6BF1DED5" w14:textId="682AE875" w:rsidR="00E448B1" w:rsidRPr="002F2C79" w:rsidRDefault="00E67797" w:rsidP="00E448B1">
      <w:pPr>
        <w:pStyle w:val="Nagwek1"/>
        <w:numPr>
          <w:ilvl w:val="0"/>
          <w:numId w:val="3"/>
        </w:numPr>
        <w:ind w:left="284" w:hanging="218"/>
        <w:jc w:val="both"/>
        <w:rPr>
          <w:rFonts w:cstheme="majorHAnsi"/>
          <w:color w:val="auto"/>
        </w:rPr>
      </w:pPr>
      <w:r>
        <w:rPr>
          <w:rStyle w:val="Uwydatnienie"/>
          <w:rFonts w:cstheme="majorHAnsi"/>
          <w:b/>
          <w:bCs/>
          <w:color w:val="auto"/>
          <w:sz w:val="22"/>
          <w:szCs w:val="22"/>
        </w:rPr>
        <w:t>I</w:t>
      </w:r>
      <w:r w:rsidRPr="002F2C79">
        <w:rPr>
          <w:rStyle w:val="Uwydatnienie"/>
          <w:rFonts w:cstheme="majorHAnsi"/>
          <w:b/>
          <w:bCs/>
          <w:color w:val="auto"/>
          <w:sz w:val="22"/>
          <w:szCs w:val="22"/>
        </w:rPr>
        <w:t>NFORMACJA O PRZEDMIOTOWYCH ŚRODKACH DOWODOWYCH</w:t>
      </w:r>
    </w:p>
    <w:p w14:paraId="0C446724" w14:textId="72FC1F7D" w:rsidR="00381B03" w:rsidRPr="002F2C79" w:rsidRDefault="00381B03" w:rsidP="002F2C79">
      <w:pPr>
        <w:rPr>
          <w:rFonts w:asciiTheme="majorHAnsi" w:hAnsiTheme="majorHAnsi" w:cstheme="majorHAnsi"/>
          <w:sz w:val="22"/>
          <w:szCs w:val="22"/>
        </w:rPr>
      </w:pPr>
      <w:r w:rsidRPr="002F2C79">
        <w:rPr>
          <w:rFonts w:asciiTheme="majorHAnsi" w:hAnsiTheme="majorHAnsi" w:cstheme="majorHAnsi"/>
          <w:sz w:val="22"/>
          <w:szCs w:val="22"/>
        </w:rPr>
        <w:t xml:space="preserve">Zamawiający nie wymaga </w:t>
      </w:r>
      <w:r w:rsidR="00E448B1" w:rsidRPr="002F2C79">
        <w:rPr>
          <w:rFonts w:asciiTheme="majorHAnsi" w:hAnsiTheme="majorHAnsi" w:cstheme="majorHAnsi"/>
          <w:sz w:val="22"/>
          <w:szCs w:val="22"/>
        </w:rPr>
        <w:t xml:space="preserve">wykazania żadnych przedmiotowych środków dowodowych. </w:t>
      </w:r>
    </w:p>
    <w:p w14:paraId="2B445074" w14:textId="08B8ABD9" w:rsidR="009F40F2" w:rsidRPr="002F2C79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2F2C79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3185696F" w14:textId="6B92329D" w:rsidR="008F284F" w:rsidRDefault="6D912644" w:rsidP="00303B8F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303B8F">
        <w:rPr>
          <w:rFonts w:asciiTheme="majorHAnsi" w:hAnsiTheme="majorHAnsi" w:cstheme="majorHAnsi"/>
          <w:sz w:val="22"/>
          <w:szCs w:val="22"/>
        </w:rPr>
        <w:t xml:space="preserve">Wykonawca wykona zamówienie </w:t>
      </w:r>
      <w:r w:rsidRPr="00303B8F">
        <w:rPr>
          <w:rFonts w:asciiTheme="majorHAnsi" w:hAnsiTheme="majorHAnsi" w:cstheme="majorHAnsi"/>
          <w:b/>
          <w:bCs/>
          <w:sz w:val="22"/>
          <w:szCs w:val="22"/>
        </w:rPr>
        <w:t xml:space="preserve">w terminie </w:t>
      </w:r>
      <w:r w:rsidR="007D79CA">
        <w:rPr>
          <w:rFonts w:asciiTheme="majorHAnsi" w:hAnsiTheme="majorHAnsi" w:cstheme="majorHAnsi"/>
          <w:b/>
          <w:bCs/>
          <w:sz w:val="22"/>
          <w:szCs w:val="22"/>
        </w:rPr>
        <w:t>36</w:t>
      </w:r>
      <w:r w:rsidRPr="00303B8F">
        <w:rPr>
          <w:rFonts w:asciiTheme="majorHAnsi" w:hAnsiTheme="majorHAnsi" w:cstheme="majorHAnsi"/>
          <w:b/>
          <w:bCs/>
          <w:sz w:val="22"/>
          <w:szCs w:val="22"/>
        </w:rPr>
        <w:t xml:space="preserve"> miesięcy</w:t>
      </w:r>
      <w:r w:rsidRPr="00303B8F">
        <w:rPr>
          <w:rFonts w:asciiTheme="majorHAnsi" w:hAnsiTheme="majorHAnsi" w:cstheme="majorHAnsi"/>
          <w:sz w:val="22"/>
          <w:szCs w:val="22"/>
        </w:rPr>
        <w:t xml:space="preserve"> od dnia zawarcia umowy, przy czym dostawy poszczególnych produktów</w:t>
      </w:r>
      <w:r w:rsidRPr="00303B8F">
        <w:rPr>
          <w:rFonts w:asciiTheme="majorHAnsi" w:hAnsiTheme="majorHAnsi" w:cstheme="majorBidi"/>
          <w:sz w:val="22"/>
          <w:szCs w:val="22"/>
        </w:rPr>
        <w:t xml:space="preserve"> będą realizowane sukcesywnie wedle zapotrzebowania Zamawiającego.</w:t>
      </w:r>
    </w:p>
    <w:p w14:paraId="23DD897D" w14:textId="38D68862" w:rsidR="00303B8F" w:rsidRPr="00303B8F" w:rsidRDefault="00303B8F" w:rsidP="00303B8F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Termin realizacji pojedynczego zamówienia, </w:t>
      </w:r>
      <w:r w:rsidRPr="00303B8F">
        <w:rPr>
          <w:rFonts w:ascii="Calibri" w:hAnsi="Calibri" w:cs="Calibri"/>
          <w:b/>
          <w:bCs/>
          <w:color w:val="000000"/>
          <w:sz w:val="22"/>
          <w:szCs w:val="22"/>
        </w:rPr>
        <w:t>nie dłuższy niż 30 dni</w:t>
      </w:r>
      <w:r>
        <w:rPr>
          <w:rFonts w:ascii="Calibri" w:hAnsi="Calibri" w:cs="Calibri"/>
          <w:color w:val="000000"/>
          <w:sz w:val="22"/>
          <w:szCs w:val="22"/>
        </w:rPr>
        <w:t xml:space="preserve"> od dnia jego złożenia przez Zamawiającego.</w:t>
      </w:r>
    </w:p>
    <w:p w14:paraId="08805AEC" w14:textId="765AF4A0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PODSTAWY WYKLUCZENIA</w:t>
      </w:r>
    </w:p>
    <w:p w14:paraId="3F2CBD11" w14:textId="34866813" w:rsidR="009F40F2" w:rsidRPr="00C426BF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="002971F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80A41" w:rsidRPr="00C426BF">
        <w:rPr>
          <w:rFonts w:asciiTheme="majorHAnsi" w:hAnsiTheme="majorHAnsi" w:cstheme="majorHAnsi"/>
          <w:bCs/>
          <w:sz w:val="22"/>
          <w:szCs w:val="22"/>
        </w:rPr>
        <w:t>o których mowa w</w:t>
      </w:r>
      <w:r w:rsidR="002971FA" w:rsidRPr="00C426BF">
        <w:rPr>
          <w:rFonts w:asciiTheme="majorHAnsi" w:hAnsiTheme="majorHAnsi" w:cstheme="majorHAnsi"/>
          <w:bCs/>
          <w:sz w:val="22"/>
          <w:szCs w:val="22"/>
        </w:rPr>
        <w:t xml:space="preserve"> art. 108 ustawy </w:t>
      </w:r>
      <w:proofErr w:type="spellStart"/>
      <w:r w:rsidR="002971FA" w:rsidRPr="00C426BF">
        <w:rPr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C426BF">
        <w:rPr>
          <w:rFonts w:asciiTheme="majorHAnsi" w:hAnsiTheme="majorHAnsi" w:cstheme="majorHAnsi"/>
          <w:bCs/>
          <w:sz w:val="22"/>
          <w:szCs w:val="22"/>
        </w:rPr>
        <w:t>:</w:t>
      </w:r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6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9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charakterze terrorystycznym, o którym mowa w </w:t>
      </w:r>
      <w:hyperlink r:id="rId12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14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15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wykonawcą do tej samej grupy kapitałowej w rozumieniu </w:t>
      </w:r>
      <w:hyperlink r:id="rId18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1EF48155" w14:textId="3A7E4F7E" w:rsidR="00994207" w:rsidRDefault="00994207" w:rsidP="009942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 nie stosuje podstaw wykluczenia, o których mowa w art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art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109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pzp</w:t>
      </w:r>
      <w:proofErr w:type="spellEnd"/>
    </w:p>
    <w:p w14:paraId="2512573F" w14:textId="77777777" w:rsidR="00994207" w:rsidRDefault="00994207" w:rsidP="009942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4BA9DCA9" w14:textId="77777777" w:rsidR="00994207" w:rsidRDefault="00994207" w:rsidP="009942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Wykonawca korzysta z udostępnienia zasobów przez podmiot trzeci na zasadach określonych w art. 118 – 123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podmiot trzeci na zasoby którego wykonawca się powołuje nie może podlegać wykluczeniu z postępowania na tych samych podstawach, których zastosowanie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zostało przewidziane w niniejszej SWZ względem Wykonawcy, z uwzględnieniem przesłanek, o których mowa w ust. 9 i 10 poniżej.</w:t>
      </w:r>
    </w:p>
    <w:p w14:paraId="4E8311E4" w14:textId="22DDDADD" w:rsidR="00994207" w:rsidRDefault="00994207" w:rsidP="009942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ani podmiot trzeci, o którym mowa w ust. 8 nie może być́ objęty zakazem,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późn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zm.) zgodnie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którym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zakazuje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̨ udzielania zamówień́ na rzecz lub z udziałem: </w:t>
      </w:r>
    </w:p>
    <w:p w14:paraId="15523125" w14:textId="77777777" w:rsidR="00994207" w:rsidRDefault="00994207" w:rsidP="00994207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obywateli rosyjskich lub osób fizycznych lub prawnych, podmiotów lub organów z siedzibą w Rosji; </w:t>
      </w:r>
    </w:p>
    <w:p w14:paraId="0D341FB4" w14:textId="77777777" w:rsidR="00994207" w:rsidRDefault="00994207" w:rsidP="00994207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osób prawnych, podmiotów lub organów, do których prawa własności bezpośrednio lub pośrednio w ponad 50 % należą̨ do podmiotu, o którym mowa w lit. a) niniejszego ustępu; lub </w:t>
      </w:r>
    </w:p>
    <w:p w14:paraId="23B0E5E7" w14:textId="77777777" w:rsidR="00994207" w:rsidRDefault="00994207" w:rsidP="00994207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osób fizycznych lub prawnych, podmiotów lub organów działających w imieniu lub pod kierunkiem podmiotu, o którym mowa w lit. a) lub b) niniejszego ustępu, </w:t>
      </w:r>
    </w:p>
    <w:p w14:paraId="54709A85" w14:textId="77777777" w:rsidR="00994207" w:rsidRDefault="00994207" w:rsidP="00994207">
      <w:pPr>
        <w:pStyle w:val="NormalnyWeb"/>
        <w:spacing w:before="0" w:beforeAutospacing="0" w:after="0" w:afterAutospacing="0"/>
        <w:ind w:left="426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>- w tym podwykonawców, dostawców lub podmiotów, na których zdolności polega się w rozumieniu dyrektyw w sprawie zamówień publicznych, w przypadku gdy przypada na nich ponad 10 % wartości zamówienia. </w:t>
      </w:r>
    </w:p>
    <w:p w14:paraId="7EE4C4B8" w14:textId="77777777" w:rsidR="00994207" w:rsidRDefault="00994207" w:rsidP="00994207">
      <w:r>
        <w:br/>
      </w:r>
    </w:p>
    <w:p w14:paraId="295BAFF8" w14:textId="52A304E8" w:rsidR="00994207" w:rsidRDefault="00994207" w:rsidP="009942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Stosownie do art. 7 ust. 1 ustawy z dnia 13 kwietnia 2022 r. o szczególnych rozwiązaniach w zakresie przeciwdziałania wspieraniu agresji na Ukrainę̨ oraz służących ochronie bezpieczeństwa narodowego (Dz.U. poz. 835) Zamawiający wykluczy wykonawcę̨: </w:t>
      </w:r>
    </w:p>
    <w:p w14:paraId="3D7A90F0" w14:textId="77777777" w:rsidR="00994207" w:rsidRDefault="00994207" w:rsidP="00994207">
      <w:pPr>
        <w:pStyle w:val="NormalnyWeb"/>
        <w:numPr>
          <w:ilvl w:val="1"/>
          <w:numId w:val="6"/>
        </w:numPr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późn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zm.) i Rozporządzeniu Rady (UE) nr 269/2014 z dnia 17 marca 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późn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 </w:t>
      </w:r>
    </w:p>
    <w:p w14:paraId="22172AD8" w14:textId="77777777" w:rsidR="00994207" w:rsidRDefault="00994207" w:rsidP="00994207">
      <w:pPr>
        <w:pStyle w:val="NormalnyWeb"/>
        <w:numPr>
          <w:ilvl w:val="1"/>
          <w:numId w:val="6"/>
        </w:numPr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 </w:t>
      </w:r>
    </w:p>
    <w:p w14:paraId="6DD36A45" w14:textId="77777777" w:rsidR="00994207" w:rsidRDefault="00994207" w:rsidP="00994207">
      <w:pPr>
        <w:pStyle w:val="NormalnyWeb"/>
        <w:numPr>
          <w:ilvl w:val="1"/>
          <w:numId w:val="6"/>
        </w:numPr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listę na podstawie decyzji w sprawie wpisu na listę̨ rozstrzygającej o zastosowaniu środka, o którym mowa w art. 1 pkt 3 ustawy z dnia 13 kwietnia 2022 r. o szczególnych rozwiązaniach w zakresie przeciwdziałania wspieraniu agresji na Ukrainę̨ oraz służących ochronie bezpieczeństwa narodowego. </w:t>
      </w:r>
    </w:p>
    <w:p w14:paraId="62A0D60C" w14:textId="2979CD1D" w:rsidR="00994207" w:rsidRDefault="00994207" w:rsidP="009942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Wykluczenie, o którym mowa w ust. 10 następuje na okres trwania okoliczności, o których mowa w ust. 10 pkt 1-3.</w:t>
      </w:r>
    </w:p>
    <w:p w14:paraId="1514262C" w14:textId="36600D21" w:rsidR="00147FB0" w:rsidRPr="00A83648" w:rsidRDefault="00147FB0" w:rsidP="0005107E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B6BD311" w14:textId="780E025D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11099F25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92B09EF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 ile wynika to z odrębnych przepisów</w:t>
      </w:r>
    </w:p>
    <w:p w14:paraId="071A62E4" w14:textId="088DA733" w:rsidR="009F40F2" w:rsidRPr="00A83648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1A50710A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</w:p>
    <w:p w14:paraId="3D1FD480" w14:textId="14EF5D5B" w:rsidR="00E032BE" w:rsidRPr="00A83648" w:rsidRDefault="00434A0B" w:rsidP="003E3EA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718B0432" w14:textId="2E95417B" w:rsidR="009921C0" w:rsidRPr="00A83648" w:rsidRDefault="009921C0" w:rsidP="00A05A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E69A7D" w14:textId="0A907070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24EA8F9" w14:textId="77777777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 przypadku wspólnego ubiegania się o zamówienie przez wykonawców, oświadczenie, o którym mowa w ust. 1, składa każdy z wykonawców</w:t>
      </w:r>
      <w:r w:rsidRPr="00A83648">
        <w:rPr>
          <w:rFonts w:asciiTheme="majorHAnsi" w:hAnsiTheme="majorHAnsi" w:cstheme="majorHAnsi"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98716FE" w:rsidR="009F40F2" w:rsidRPr="00A83648" w:rsidRDefault="009F40F2" w:rsidP="00E107CF">
      <w:pPr>
        <w:pStyle w:val="Akapitzlist"/>
        <w:numPr>
          <w:ilvl w:val="2"/>
          <w:numId w:val="8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  </w:t>
      </w:r>
    </w:p>
    <w:p w14:paraId="7422CD00" w14:textId="587BCCC7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761F63D8" w14:textId="63BD7EEF" w:rsidR="009F40F2" w:rsidRPr="00A83648" w:rsidRDefault="009F40F2" w:rsidP="00FD72B5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228-230a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250a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46-48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54 ust. 1-4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2D465692" w14:textId="4400F8EB" w:rsidR="009F40F2" w:rsidRPr="00A83648" w:rsidRDefault="00B4213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lastRenderedPageBreak/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E73F7AD" w14:textId="6714D1EC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41F1A37B" w14:textId="02865DF3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6E19746E" w14:textId="24486CE9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90858E2" w14:textId="466694BD" w:rsidR="009F40F2" w:rsidRPr="00A83648" w:rsidRDefault="009F40F2" w:rsidP="00E55AF7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046DA46" w14:textId="0A553317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 </w:t>
      </w:r>
    </w:p>
    <w:p w14:paraId="49309927" w14:textId="77777777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 </w:t>
      </w:r>
    </w:p>
    <w:p w14:paraId="2DC2EEC4" w14:textId="7A16AE1E" w:rsidR="009F40F2" w:rsidRPr="00A83648" w:rsidRDefault="009F40F2" w:rsidP="00E55AF7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    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F93829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37684B6B" w14:textId="6983B4AC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</w:p>
    <w:p w14:paraId="6C61A574" w14:textId="6FFBEF4F" w:rsidR="00432C7E" w:rsidRPr="00A83648" w:rsidRDefault="6D912644" w:rsidP="6D912644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Zamawiający wymaga także 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>złożenia przez Wykonawcę̨ wraz z ofertą</w:t>
      </w:r>
      <w:r w:rsidRPr="6D912644">
        <w:rPr>
          <w:rFonts w:asciiTheme="majorHAnsi" w:hAnsiTheme="majorHAnsi" w:cstheme="majorBid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</w:t>
      </w:r>
      <w:r w:rsidRPr="6D912644">
        <w:rPr>
          <w:rFonts w:asciiTheme="majorHAnsi" w:hAnsiTheme="majorHAnsi" w:cstheme="majorBidi"/>
          <w:sz w:val="22"/>
          <w:szCs w:val="22"/>
        </w:rPr>
        <w:lastRenderedPageBreak/>
        <w:t xml:space="preserve">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Oświadczenie należy złożyć w formie elektronicznej pod rygorem nieważności. W przypadku wykonawców wspólnie ubiegających się o udzielenie zamówienia oświadczenie to składa każdy z nich. Oświadczenie składa także podmiot, o którym mowa w art. 118 ustawy </w:t>
      </w:r>
      <w:proofErr w:type="spellStart"/>
      <w:r w:rsidRPr="6D912644">
        <w:rPr>
          <w:rFonts w:asciiTheme="majorHAnsi" w:hAnsiTheme="majorHAnsi" w:cstheme="majorBidi"/>
          <w:sz w:val="22"/>
          <w:szCs w:val="22"/>
        </w:rPr>
        <w:t>pzp</w:t>
      </w:r>
      <w:proofErr w:type="spellEnd"/>
      <w:r w:rsidRPr="6D912644">
        <w:rPr>
          <w:rFonts w:asciiTheme="majorHAnsi" w:hAnsiTheme="majorHAnsi" w:cstheme="majorBidi"/>
          <w:sz w:val="22"/>
          <w:szCs w:val="22"/>
        </w:rPr>
        <w:t xml:space="preserve">. Wzór oświadczenia stanowi </w:t>
      </w:r>
      <w:r w:rsidRPr="005073D9">
        <w:rPr>
          <w:rFonts w:asciiTheme="majorHAnsi" w:hAnsiTheme="majorHAnsi" w:cstheme="majorBidi"/>
          <w:b/>
          <w:bCs/>
          <w:sz w:val="22"/>
          <w:szCs w:val="22"/>
        </w:rPr>
        <w:t>załącznik nr 3 do SWZ</w:t>
      </w:r>
      <w:r w:rsidRPr="6D912644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7CB70AC4" w14:textId="77777777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14384EF" w14:textId="4D10509F" w:rsidR="009F40F2" w:rsidRDefault="00E67797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 ŚRODKÓW DOWODOWYCH SKŁADANYCH NA WEZWANIE ZAMAWIAJĄCEGO</w:t>
      </w:r>
    </w:p>
    <w:p w14:paraId="213DA545" w14:textId="77777777" w:rsidR="00717E4C" w:rsidRPr="00717E4C" w:rsidRDefault="00717E4C" w:rsidP="00717E4C"/>
    <w:p w14:paraId="664F74A0" w14:textId="015EA793" w:rsidR="009F40F2" w:rsidRPr="00434A0B" w:rsidRDefault="009F40F2" w:rsidP="00F93829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 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1 i </w:t>
      </w:r>
      <w:hyperlink r:id="rId19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3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>- sporządzonej nie wcześniej niż 6 miesięcy przed jej złożeniem;</w:t>
      </w:r>
    </w:p>
    <w:p w14:paraId="792863F6" w14:textId="77777777" w:rsidR="00BB091C" w:rsidRPr="00A83648" w:rsidRDefault="00BB091C" w:rsidP="00B525A8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6244020" w14:textId="24C4E93C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20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DA2B18E" w14:textId="5A895B53" w:rsidR="00CD1491" w:rsidRPr="00FF5A9B" w:rsidRDefault="00CD1491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62817443" w14:textId="5A5787E7" w:rsidR="00CD1491" w:rsidRPr="00FF5A9B" w:rsidRDefault="00CD1491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>oświadczenia wykonawcy o zaistnieniu przesłanek, o których mowa w § 7 ust. 9 i 10 SWZ. Wzór oświadczenia</w:t>
      </w:r>
      <w:r w:rsidRPr="005073D9">
        <w:rPr>
          <w:rFonts w:asciiTheme="majorHAnsi" w:hAnsiTheme="majorHAnsi" w:cstheme="majorHAnsi"/>
          <w:sz w:val="22"/>
          <w:szCs w:val="22"/>
        </w:rPr>
        <w:t xml:space="preserve"> stanowi</w:t>
      </w:r>
      <w:r w:rsidRPr="005073D9">
        <w:rPr>
          <w:rFonts w:asciiTheme="majorHAnsi" w:hAnsiTheme="majorHAnsi" w:cstheme="majorHAnsi"/>
          <w:b/>
          <w:bCs/>
          <w:sz w:val="22"/>
          <w:szCs w:val="22"/>
        </w:rPr>
        <w:t xml:space="preserve"> załącznik nr </w:t>
      </w:r>
      <w:r w:rsidR="00FF5A9B" w:rsidRPr="005073D9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 </w:t>
      </w:r>
      <w:r w:rsidR="00151799" w:rsidRPr="00994207">
        <w:rPr>
          <w:rFonts w:asciiTheme="majorHAnsi" w:hAnsiTheme="majorHAnsi" w:cstheme="majorHAnsi"/>
          <w:b/>
          <w:bCs/>
          <w:sz w:val="22"/>
          <w:szCs w:val="22"/>
        </w:rPr>
        <w:t>6a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dla podmiotów udostępniających zasoby.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przypadków, o których mowa w art. 108 ust. 1 pkt 1, </w:t>
      </w:r>
      <w:hyperlink r:id="rId21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22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07385651" w14:textId="397F525A" w:rsidR="009F40F2" w:rsidRPr="00A83648" w:rsidRDefault="6D912644" w:rsidP="6D912644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Zamawiający żąda od wykonawcy, który polega na zdolnościach technicznych lub zawodowych lub sytuacji finansowej lub ekonomicznej podmiotów udostępniających zasoby na zasadach określonych w art. 118 – 123 </w:t>
      </w:r>
      <w:proofErr w:type="spellStart"/>
      <w:r w:rsidRPr="6D912644">
        <w:rPr>
          <w:rFonts w:asciiTheme="majorHAnsi" w:hAnsiTheme="majorHAnsi" w:cstheme="majorBidi"/>
          <w:b/>
          <w:bCs/>
          <w:sz w:val="22"/>
          <w:szCs w:val="22"/>
        </w:rPr>
        <w:t>pzp</w:t>
      </w:r>
      <w:proofErr w:type="spellEnd"/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 przedstawienia podmiotowych środków dowodowych, o których mowa  w ust. 1 pkt 1 i 3 – 4.</w:t>
      </w:r>
      <w:r w:rsidRPr="6D912644">
        <w:rPr>
          <w:rFonts w:asciiTheme="majorHAnsi" w:hAnsiTheme="majorHAnsi" w:cstheme="majorBidi"/>
          <w:sz w:val="22"/>
          <w:szCs w:val="22"/>
        </w:rPr>
        <w:t xml:space="preserve"> Postanowienia ust. 2 stosuje się odpowiednio.</w:t>
      </w:r>
    </w:p>
    <w:p w14:paraId="04D54289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60B5AB8" w14:textId="290C9579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0A5BA56A" w14:textId="78E59478" w:rsidR="003673CA" w:rsidRPr="00A83648" w:rsidRDefault="003673CA" w:rsidP="003673CA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57E26686" w14:textId="07BCDAB4" w:rsidR="002D00B9" w:rsidRPr="00A83648" w:rsidRDefault="002D00B9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za pomocą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23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476009" w:rsidRPr="00FD3316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zamowieniawb</w:t>
      </w:r>
      <w:r w:rsidR="00043E97" w:rsidRPr="00FD3316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@</w:t>
      </w:r>
      <w:r w:rsidR="00476009" w:rsidRPr="00FD3316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uw.edu.pl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Adres skrzynki </w:t>
      </w:r>
      <w:proofErr w:type="spellStart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epuap</w:t>
      </w:r>
      <w:proofErr w:type="spellEnd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Zamawiającego: </w:t>
      </w:r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uwedupl</w:t>
      </w:r>
      <w:proofErr w:type="spellEnd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7F91731C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24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zobowiązanie podmiotu udostępniającego zasoby, o którym mowa w </w:t>
      </w:r>
      <w:hyperlink r:id="rId25" w:anchor="/document/18903829?unitId=art(118)ust(3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118 ust. 3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>, 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26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6D23672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27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</w:t>
      </w:r>
      <w:r w:rsidR="00994207">
        <w:rPr>
          <w:rFonts w:asciiTheme="majorHAnsi" w:hAnsiTheme="majorHAnsi" w:cstheme="majorHAnsi"/>
          <w:iCs/>
          <w:sz w:val="22"/>
          <w:szCs w:val="22"/>
        </w:rPr>
        <w:t> </w:t>
      </w:r>
      <w:r w:rsidRPr="00A83648">
        <w:rPr>
          <w:rFonts w:asciiTheme="majorHAnsi" w:hAnsiTheme="majorHAnsi" w:cstheme="majorHAnsi"/>
          <w:iCs/>
          <w:sz w:val="22"/>
          <w:szCs w:val="22"/>
        </w:rPr>
        <w:t>ust.</w:t>
      </w:r>
      <w:r w:rsidR="00994207">
        <w:rPr>
          <w:rFonts w:asciiTheme="majorHAnsi" w:hAnsiTheme="majorHAnsi" w:cstheme="majorHAnsi"/>
          <w:iCs/>
          <w:sz w:val="22"/>
          <w:szCs w:val="22"/>
        </w:rPr>
        <w:t> </w:t>
      </w:r>
      <w:r w:rsidRPr="00A83648">
        <w:rPr>
          <w:rFonts w:asciiTheme="majorHAnsi" w:hAnsiTheme="majorHAnsi" w:cstheme="majorHAnsi"/>
          <w:iCs/>
          <w:sz w:val="22"/>
          <w:szCs w:val="22"/>
        </w:rPr>
        <w:t>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28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29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7A3D29F9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28D134DA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>zobowiązanie podmiotu udostępniającego zasoby,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7A846204" w:rsidR="009F40F2" w:rsidRPr="00A83648" w:rsidRDefault="00B43F29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226FE348" w:rsidR="009F40F2" w:rsidRPr="00994207" w:rsidRDefault="009F40F2" w:rsidP="0099420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94207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994207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994207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 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.tar, .7z, .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przy czym zaleca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̨ 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785EFF35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6F7194FA" w14:textId="3A188341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9F0625B" w14:textId="75FA10C0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4B2980B" w14:textId="057DF092" w:rsidR="003673CA" w:rsidRDefault="00717E4C" w:rsidP="00717E4C">
      <w:pPr>
        <w:ind w:firstLine="360"/>
        <w:jc w:val="both"/>
        <w:rPr>
          <w:rFonts w:asciiTheme="majorHAnsi" w:hAnsiTheme="majorHAnsi" w:cstheme="majorBidi"/>
          <w:sz w:val="22"/>
          <w:szCs w:val="22"/>
        </w:rPr>
      </w:pPr>
      <w:r w:rsidRPr="00A23618">
        <w:rPr>
          <w:rFonts w:asciiTheme="majorHAnsi" w:hAnsiTheme="majorHAnsi" w:cstheme="majorBidi"/>
          <w:sz w:val="22"/>
          <w:szCs w:val="22"/>
        </w:rPr>
        <w:t xml:space="preserve">Pani </w:t>
      </w:r>
      <w:r w:rsidR="00616045">
        <w:rPr>
          <w:rFonts w:asciiTheme="majorHAnsi" w:hAnsiTheme="majorHAnsi" w:cstheme="majorBidi"/>
          <w:sz w:val="22"/>
          <w:szCs w:val="22"/>
        </w:rPr>
        <w:t xml:space="preserve">Anna </w:t>
      </w:r>
      <w:proofErr w:type="spellStart"/>
      <w:r w:rsidR="00616045">
        <w:rPr>
          <w:rFonts w:asciiTheme="majorHAnsi" w:hAnsiTheme="majorHAnsi" w:cstheme="majorBidi"/>
          <w:sz w:val="22"/>
          <w:szCs w:val="22"/>
        </w:rPr>
        <w:t>Piusińska</w:t>
      </w:r>
      <w:proofErr w:type="spellEnd"/>
    </w:p>
    <w:p w14:paraId="4B82D081" w14:textId="79FC55DE" w:rsidR="00994207" w:rsidRPr="00A23618" w:rsidRDefault="00994207" w:rsidP="00717E4C">
      <w:pPr>
        <w:ind w:firstLine="360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Od poniedziałku do piątku w godzinach 8:00-15:00</w:t>
      </w:r>
    </w:p>
    <w:p w14:paraId="3C91A4AD" w14:textId="4F9EFF23" w:rsidR="002A39B9" w:rsidRPr="00A23618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23618">
        <w:rPr>
          <w:rFonts w:asciiTheme="majorHAnsi" w:hAnsiTheme="majorHAnsi" w:cstheme="majorHAnsi"/>
          <w:iCs/>
          <w:sz w:val="22"/>
          <w:szCs w:val="22"/>
        </w:rPr>
        <w:t>Email</w:t>
      </w:r>
      <w:r w:rsidR="00764A3A" w:rsidRPr="00A23618">
        <w:rPr>
          <w:rFonts w:asciiTheme="majorHAnsi" w:hAnsiTheme="majorHAnsi" w:cstheme="majorHAnsi"/>
          <w:iCs/>
          <w:sz w:val="22"/>
          <w:szCs w:val="22"/>
        </w:rPr>
        <w:t>:</w:t>
      </w:r>
      <w:r w:rsidRPr="00A23618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30" w:history="1">
        <w:r w:rsidR="00764A3A" w:rsidRPr="00A23618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zamowieniawb@uw.edu.pl</w:t>
        </w:r>
      </w:hyperlink>
      <w:r w:rsidR="00764A3A" w:rsidRPr="00A2361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6EB94638" w14:textId="02BF7CD1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 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77777777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Treść zapytań wraz z wyjaśnieniami treści SWZ będzie zamieszczana na stronie internetowej prowadzonego postępowania wskazanej w § 2. </w:t>
      </w:r>
    </w:p>
    <w:p w14:paraId="258D7F8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406119CE" w14:textId="3E377AE2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4FB27A2D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ofertą upływa dnia </w:t>
      </w:r>
      <w:r w:rsidR="003B7B1D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11.04.</w:t>
      </w:r>
      <w:r w:rsidR="00A346CE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20</w:t>
      </w:r>
      <w:r w:rsidR="00890C91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2</w:t>
      </w:r>
      <w:r w:rsidR="00994207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3</w:t>
      </w:r>
      <w:r w:rsidR="00890C91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="00A346CE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4AE2BCDA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73D561" w14:textId="3FEB691A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SPOSOBU PRZYGOTOWYWANIA OFERTY</w:t>
      </w:r>
    </w:p>
    <w:p w14:paraId="45CDD130" w14:textId="03DEF7AE" w:rsidR="00A346CE" w:rsidRPr="00A83648" w:rsidRDefault="00A346CE" w:rsidP="00A346CE">
      <w:pPr>
        <w:rPr>
          <w:rFonts w:asciiTheme="majorHAnsi" w:hAnsiTheme="majorHAnsi" w:cstheme="majorHAnsi"/>
          <w:sz w:val="22"/>
          <w:szCs w:val="22"/>
        </w:rPr>
      </w:pPr>
    </w:p>
    <w:p w14:paraId="1C333756" w14:textId="134B39D6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Oferta powinna zostać przygotowana zgodnie z wymogami zawartymi w niniejszej SWZ, w języku polskim i w formie elektronicznej pod rygorem nieważności. Treść oferty musi być zgodna z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5E2441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rekomenduje, aby wykonawca, przed przystąpieniem do składania ofert w systemie, zapoznał się z Instrukcją korzystania z systemu, i zasadami określonymi w § 23 SWZ.</w:t>
      </w:r>
    </w:p>
    <w:bookmarkEnd w:id="1"/>
    <w:p w14:paraId="206D7021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31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57BB30FF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42CB70" w14:textId="196307AA" w:rsidR="6D912644" w:rsidRPr="002F2C79" w:rsidRDefault="6D912644" w:rsidP="6D912644">
      <w:pPr>
        <w:jc w:val="both"/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W treści oferty Wykonawca zobowiązany jest podać informacje wymagane zgodnie ze wzorem </w:t>
      </w:r>
      <w:r w:rsidRPr="002F2C79">
        <w:rPr>
          <w:rFonts w:asciiTheme="majorHAnsi" w:hAnsiTheme="majorHAnsi" w:cstheme="majorBidi"/>
          <w:sz w:val="22"/>
          <w:szCs w:val="22"/>
        </w:rPr>
        <w:t>formularza ofertowego w tym w szczególności:</w:t>
      </w:r>
    </w:p>
    <w:p w14:paraId="06DF6C0D" w14:textId="0B0598B3" w:rsidR="6D912644" w:rsidRPr="002F2C79" w:rsidRDefault="6D912644" w:rsidP="6D91264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2C79">
        <w:rPr>
          <w:rFonts w:asciiTheme="majorHAnsi" w:eastAsia="Times New Roman" w:hAnsiTheme="majorHAnsi" w:cstheme="majorBidi"/>
          <w:sz w:val="22"/>
          <w:szCs w:val="22"/>
        </w:rPr>
        <w:t>Ceny jednostkowe poszczególnych produktów oraz ceny za zamawiane ich ilości</w:t>
      </w:r>
    </w:p>
    <w:p w14:paraId="75891EB1" w14:textId="377CCA18" w:rsidR="6D912644" w:rsidRPr="002F2C79" w:rsidRDefault="6D912644" w:rsidP="6D91264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2C79">
        <w:rPr>
          <w:rFonts w:asciiTheme="majorHAnsi" w:eastAsia="Times New Roman" w:hAnsiTheme="majorHAnsi" w:cstheme="majorBidi"/>
          <w:sz w:val="22"/>
          <w:szCs w:val="22"/>
        </w:rPr>
        <w:t xml:space="preserve">Termin realizacji </w:t>
      </w:r>
      <w:r w:rsidR="00717E4C" w:rsidRPr="002F2C79">
        <w:rPr>
          <w:rFonts w:asciiTheme="majorHAnsi" w:eastAsia="Times New Roman" w:hAnsiTheme="majorHAnsi" w:cstheme="majorBidi"/>
          <w:sz w:val="22"/>
          <w:szCs w:val="22"/>
        </w:rPr>
        <w:t>pojedynczego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 xml:space="preserve"> zamówienia</w:t>
      </w:r>
      <w:r w:rsidR="00E448B1" w:rsidRPr="002F2C79">
        <w:rPr>
          <w:rFonts w:asciiTheme="majorHAnsi" w:eastAsia="Times New Roman" w:hAnsiTheme="majorHAnsi" w:cstheme="majorBidi"/>
          <w:sz w:val="22"/>
          <w:szCs w:val="22"/>
        </w:rPr>
        <w:t>,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 xml:space="preserve"> nie dłuższy niż </w:t>
      </w:r>
      <w:r w:rsidR="00D8004F" w:rsidRPr="002F2C79">
        <w:rPr>
          <w:rFonts w:asciiTheme="majorHAnsi" w:eastAsia="Times New Roman" w:hAnsiTheme="majorHAnsi" w:cstheme="majorBidi"/>
          <w:sz w:val="22"/>
          <w:szCs w:val="22"/>
        </w:rPr>
        <w:t xml:space="preserve">30 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>dni od dnia jego złożenia przez Zamawiającego.</w:t>
      </w:r>
    </w:p>
    <w:p w14:paraId="2FF2B86F" w14:textId="269DD1FD" w:rsidR="00D8004F" w:rsidRPr="002F2C79" w:rsidRDefault="00A21B8B" w:rsidP="00D8004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F2C79">
        <w:rPr>
          <w:rFonts w:asciiTheme="majorHAnsi" w:eastAsia="Times New Roman" w:hAnsiTheme="majorHAnsi" w:cstheme="majorBidi"/>
          <w:sz w:val="22"/>
          <w:szCs w:val="22"/>
        </w:rPr>
        <w:t>Nazwa, n</w:t>
      </w:r>
      <w:r w:rsidR="00D8004F" w:rsidRPr="002F2C79">
        <w:rPr>
          <w:rFonts w:asciiTheme="majorHAnsi" w:eastAsia="Times New Roman" w:hAnsiTheme="majorHAnsi" w:cstheme="majorBidi"/>
          <w:sz w:val="22"/>
          <w:szCs w:val="22"/>
        </w:rPr>
        <w:t xml:space="preserve">umer katalogowy producenta oferowanego produktu. </w:t>
      </w:r>
      <w:r w:rsidRPr="002F2C79">
        <w:rPr>
          <w:rFonts w:asciiTheme="majorHAnsi" w:eastAsia="Times New Roman" w:hAnsiTheme="majorHAnsi" w:cstheme="majorBidi"/>
          <w:sz w:val="22"/>
          <w:szCs w:val="22"/>
        </w:rPr>
        <w:t>Powyższe dane stanowią treść oferty i nie podlegają uzupełnieniu .</w:t>
      </w:r>
    </w:p>
    <w:p w14:paraId="58C1E287" w14:textId="6CADDCBE" w:rsidR="6D912644" w:rsidRDefault="6D912644" w:rsidP="6D912644">
      <w:pPr>
        <w:jc w:val="both"/>
        <w:rPr>
          <w:b/>
          <w:bCs/>
        </w:rPr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>W braku podania ww. Terminu przez Wykonawcę Zamawiający przyjmie, iż dostawa zostanie zrealizowana w terminie wymaganym przez Zamawiającego jako maksymalny tj</w:t>
      </w:r>
      <w:r w:rsidRPr="002F2C79">
        <w:rPr>
          <w:rFonts w:asciiTheme="majorHAnsi" w:hAnsiTheme="majorHAnsi" w:cstheme="majorBidi"/>
          <w:b/>
          <w:bCs/>
          <w:sz w:val="22"/>
          <w:szCs w:val="22"/>
        </w:rPr>
        <w:t xml:space="preserve">. </w:t>
      </w:r>
      <w:r w:rsidR="00D8004F" w:rsidRPr="002F2C79">
        <w:rPr>
          <w:rFonts w:asciiTheme="majorHAnsi" w:hAnsiTheme="majorHAnsi" w:cstheme="majorBidi"/>
          <w:b/>
          <w:bCs/>
          <w:sz w:val="22"/>
          <w:szCs w:val="22"/>
        </w:rPr>
        <w:t>30</w:t>
      </w:r>
      <w:r w:rsidRPr="002F2C79">
        <w:rPr>
          <w:rFonts w:asciiTheme="majorHAnsi" w:hAnsiTheme="majorHAnsi" w:cstheme="majorBidi"/>
          <w:b/>
          <w:bCs/>
          <w:sz w:val="22"/>
          <w:szCs w:val="22"/>
        </w:rPr>
        <w:t xml:space="preserve"> dni.</w:t>
      </w:r>
    </w:p>
    <w:p w14:paraId="608D668B" w14:textId="69ED671F" w:rsidR="6D912644" w:rsidRDefault="6D912644" w:rsidP="6D912644">
      <w:pPr>
        <w:jc w:val="both"/>
        <w:rPr>
          <w:b/>
          <w:bCs/>
        </w:rPr>
      </w:pPr>
    </w:p>
    <w:p w14:paraId="7B83EA3A" w14:textId="26171E76" w:rsidR="00285A3D" w:rsidRPr="00A83648" w:rsidRDefault="00285A3D" w:rsidP="002F2C7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09A86A08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32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stawki podatku od towarów i usług, która zgodnie z wiedzą wykonawcy, będzie miała zastosowanie.</w:t>
      </w:r>
    </w:p>
    <w:p w14:paraId="3BA38532" w14:textId="3E71A6BF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1D57B4AD" w:rsidR="009F40F2" w:rsidRPr="00A83648" w:rsidRDefault="009F40F2" w:rsidP="00E107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dnia </w:t>
      </w:r>
      <w:r w:rsidR="003B7B1D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12.01.</w:t>
      </w:r>
      <w:r w:rsidR="00FF772A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202</w:t>
      </w:r>
      <w:r w:rsidR="003B7B1D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3</w:t>
      </w:r>
      <w:r w:rsidR="0032712E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</w:t>
      </w:r>
      <w:r w:rsidR="0032712E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 godzinie </w:t>
      </w:r>
      <w:r w:rsidR="003B7B1D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9:00</w:t>
      </w:r>
    </w:p>
    <w:p w14:paraId="3FA20B30" w14:textId="6AEDBE80" w:rsidR="009F40F2" w:rsidRPr="00A83648" w:rsidRDefault="009F40F2" w:rsidP="00E107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A83648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§ 23 </w:t>
      </w:r>
      <w:r w:rsidRPr="00A83648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5FABB7FA" w:rsidR="009F40F2" w:rsidRPr="00A83648" w:rsidRDefault="00E67797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O</w:t>
      </w:r>
      <w:r>
        <w:rPr>
          <w:rStyle w:val="Uwydatnienie"/>
          <w:rFonts w:cstheme="majorHAnsi"/>
          <w:b/>
          <w:bCs/>
          <w:color w:val="auto"/>
          <w:sz w:val="22"/>
          <w:szCs w:val="22"/>
        </w:rPr>
        <w:t>T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WARCIA OFERT;</w:t>
      </w:r>
    </w:p>
    <w:p w14:paraId="30C590E1" w14:textId="24C9F084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ofert w dniu </w:t>
      </w:r>
      <w:r w:rsidR="003B7B1D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12.01.2023</w:t>
      </w:r>
      <w:r w:rsidR="0032712E" w:rsidRP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</w:t>
      </w:r>
      <w:r w:rsidR="0032712E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. o godzinie </w:t>
      </w:r>
      <w:r w:rsidR="003B7B1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10:00</w:t>
      </w:r>
    </w:p>
    <w:p w14:paraId="2653C628" w14:textId="182C838A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Niezwłocznie po dokonaniu otwarcia ofert Zamawiający zamieści na stronie internetowej postępowania informacje, o których mowa w art. 222 ust.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ED0104A" w14:textId="77777777" w:rsidR="00F21CA7" w:rsidRPr="00A83648" w:rsidRDefault="00F21CA7" w:rsidP="00F21CA7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 </w:t>
      </w:r>
    </w:p>
    <w:p w14:paraId="63FB8A18" w14:textId="63AD87DF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CENY;</w:t>
      </w:r>
    </w:p>
    <w:p w14:paraId="1A2318E6" w14:textId="539E2C3E" w:rsidR="00FC343F" w:rsidRPr="00A83648" w:rsidRDefault="009F40F2" w:rsidP="0031013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 wymaganiami określonymi w Formularzu oferty.</w:t>
      </w:r>
    </w:p>
    <w:p w14:paraId="0D20FB59" w14:textId="77777777" w:rsidR="009F40F2" w:rsidRPr="00E448B1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Podana cena musi obejmować wszystkie koszty realizacji prac z uwzględnieniem wszystkich opłat i </w:t>
      </w:r>
      <w:r w:rsidRPr="00E448B1">
        <w:rPr>
          <w:rFonts w:asciiTheme="majorHAnsi" w:hAnsiTheme="majorHAnsi" w:cstheme="majorHAnsi"/>
          <w:sz w:val="22"/>
          <w:szCs w:val="22"/>
        </w:rPr>
        <w:t>podatków (także od towarów i usług). Cena musi być podana w złotych polskich.</w:t>
      </w:r>
    </w:p>
    <w:p w14:paraId="45573D27" w14:textId="08944AF0" w:rsidR="009F40F2" w:rsidRPr="002F2C79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48B1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E448B1">
        <w:rPr>
          <w:rFonts w:asciiTheme="majorHAnsi" w:hAnsiTheme="majorHAnsi" w:cstheme="majorHAnsi"/>
          <w:sz w:val="22"/>
          <w:szCs w:val="22"/>
        </w:rPr>
        <w:t xml:space="preserve">wymienione </w:t>
      </w:r>
      <w:r w:rsidR="00381B03" w:rsidRPr="00E448B1">
        <w:rPr>
          <w:rFonts w:asciiTheme="majorHAnsi" w:hAnsiTheme="majorHAnsi" w:cstheme="majorHAnsi"/>
          <w:sz w:val="22"/>
          <w:szCs w:val="22"/>
        </w:rPr>
        <w:t>w formularzu ofertowym</w:t>
      </w:r>
      <w:r w:rsidRPr="002F2C7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ED1E75F" w14:textId="0DA8FA92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</w:t>
      </w:r>
      <w:r w:rsidR="00A21B8B" w:rsidRPr="00A83648">
        <w:rPr>
          <w:rFonts w:asciiTheme="majorHAnsi" w:hAnsiTheme="majorHAnsi" w:cstheme="majorHAnsi"/>
          <w:sz w:val="22"/>
          <w:szCs w:val="22"/>
        </w:rPr>
        <w:t>obowiązywania</w:t>
      </w:r>
      <w:r w:rsidRPr="00A83648">
        <w:rPr>
          <w:rFonts w:asciiTheme="majorHAnsi" w:hAnsiTheme="majorHAnsi" w:cstheme="majorHAnsi"/>
          <w:sz w:val="22"/>
          <w:szCs w:val="22"/>
        </w:rPr>
        <w:t xml:space="preserve"> umowy i nie będą podlegały zmianom z zastrzeżeniem przypadków wskazanych w umowie.</w:t>
      </w:r>
    </w:p>
    <w:p w14:paraId="15A5F810" w14:textId="5EC76A55" w:rsidR="009F40F2" w:rsidRPr="00E448B1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</w:t>
      </w:r>
      <w:r w:rsidR="006812B7" w:rsidRPr="00E448B1">
        <w:rPr>
          <w:rFonts w:asciiTheme="majorHAnsi" w:hAnsiTheme="majorHAnsi" w:cstheme="majorHAnsi"/>
          <w:sz w:val="22"/>
          <w:szCs w:val="22"/>
        </w:rPr>
        <w:t xml:space="preserve">w </w:t>
      </w:r>
      <w:r w:rsidR="00E448B1">
        <w:rPr>
          <w:rFonts w:asciiTheme="majorHAnsi" w:hAnsiTheme="majorHAnsi" w:cstheme="majorHAnsi"/>
          <w:sz w:val="22"/>
          <w:szCs w:val="22"/>
        </w:rPr>
        <w:t xml:space="preserve">formularzu ofertowym. 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75458A1A" w:rsidR="009F40F2" w:rsidRPr="003E4073" w:rsidRDefault="00E67797" w:rsidP="6D912644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b/>
          <w:bCs/>
          <w:color w:val="auto"/>
          <w:sz w:val="22"/>
          <w:szCs w:val="22"/>
        </w:rPr>
      </w:pPr>
      <w:r w:rsidRPr="003E4073">
        <w:rPr>
          <w:rStyle w:val="Uwydatnienie"/>
          <w:b/>
          <w:bCs/>
          <w:color w:val="auto"/>
          <w:sz w:val="22"/>
          <w:szCs w:val="22"/>
        </w:rPr>
        <w:lastRenderedPageBreak/>
        <w:t>OPIS KRYTERIÓW OCENY OFERT WRAZ Z PODANIEM WAG TYCH KRYTERIÓW I SPOSOBU OCENY OFERT;</w:t>
      </w:r>
    </w:p>
    <w:p w14:paraId="29BE4D6C" w14:textId="77777777" w:rsidR="009F40F2" w:rsidRPr="003E4073" w:rsidRDefault="009F40F2" w:rsidP="6D912644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04ACE4EE" w14:textId="0494BBA5" w:rsidR="009F40F2" w:rsidRPr="003E4073" w:rsidRDefault="6D912644" w:rsidP="6D912644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4D5A412E" w14:textId="4ED219FA" w:rsidR="00996E6C" w:rsidRPr="003E4073" w:rsidRDefault="00996E6C" w:rsidP="003E4073">
      <w:pPr>
        <w:pStyle w:val="Akapitzlist"/>
        <w:ind w:left="792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191"/>
      </w:tblGrid>
      <w:tr w:rsidR="00996E6C" w:rsidRPr="003E4073" w14:paraId="1B31394D" w14:textId="77777777" w:rsidTr="00BF428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416E5" w14:textId="77777777" w:rsidR="00996E6C" w:rsidRPr="003E4073" w:rsidRDefault="6D912644" w:rsidP="6D912644">
            <w:pPr>
              <w:ind w:left="168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0D61" w14:textId="77777777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996E6C" w:rsidRPr="003E4073" w14:paraId="451700F6" w14:textId="77777777" w:rsidTr="00BF4289">
        <w:trPr>
          <w:trHeight w:val="46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700A93" w14:textId="77777777" w:rsidR="00996E6C" w:rsidRPr="003E4073" w:rsidRDefault="6D912644" w:rsidP="6D912644">
            <w:pPr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528DCE" w14:textId="77777777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60</w:t>
            </w:r>
          </w:p>
        </w:tc>
      </w:tr>
      <w:tr w:rsidR="00996E6C" w:rsidRPr="003E4073" w14:paraId="0ED751A7" w14:textId="77777777" w:rsidTr="00BF4289">
        <w:trPr>
          <w:trHeight w:val="46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7D736" w14:textId="48A35038" w:rsidR="00996E6C" w:rsidRPr="003E4073" w:rsidRDefault="6D912644" w:rsidP="6D912644">
            <w:pPr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Termin realizacji</w:t>
            </w:r>
            <w:r w:rsidR="00717E4C"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pojedynczej dostawy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280F15" w14:textId="76142D19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40</w:t>
            </w:r>
          </w:p>
        </w:tc>
      </w:tr>
    </w:tbl>
    <w:p w14:paraId="3EB4C6DE" w14:textId="557A3D87" w:rsidR="00996E6C" w:rsidRPr="003E4073" w:rsidRDefault="00996E6C" w:rsidP="6D912644">
      <w:pPr>
        <w:pStyle w:val="Tekstpodstawowy"/>
        <w:tabs>
          <w:tab w:val="left" w:pos="567"/>
        </w:tabs>
        <w:rPr>
          <w:rFonts w:asciiTheme="majorHAnsi" w:hAnsiTheme="majorHAnsi" w:cstheme="majorBidi"/>
          <w:b/>
          <w:bCs/>
          <w:sz w:val="22"/>
          <w:szCs w:val="22"/>
        </w:rPr>
      </w:pPr>
    </w:p>
    <w:p w14:paraId="3FDC3A95" w14:textId="77777777" w:rsidR="00B60CAC" w:rsidRPr="003E4073" w:rsidRDefault="6D912644" w:rsidP="002F2C79">
      <w:pPr>
        <w:pStyle w:val="Akapitzlist"/>
        <w:numPr>
          <w:ilvl w:val="2"/>
          <w:numId w:val="16"/>
        </w:numPr>
        <w:ind w:left="1134" w:hanging="414"/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b/>
          <w:bCs/>
          <w:sz w:val="22"/>
          <w:szCs w:val="22"/>
        </w:rPr>
        <w:t>W kryterium „Cena”</w:t>
      </w:r>
      <w:r w:rsidRPr="003E4073">
        <w:rPr>
          <w:rFonts w:asciiTheme="majorHAnsi" w:hAnsiTheme="majorHAnsi" w:cstheme="majorBidi"/>
          <w:sz w:val="22"/>
          <w:szCs w:val="22"/>
        </w:rPr>
        <w:t xml:space="preserve"> </w:t>
      </w:r>
      <w:bookmarkStart w:id="2" w:name="_Hlk118805254"/>
      <w:r w:rsidRPr="003E4073">
        <w:rPr>
          <w:rFonts w:asciiTheme="majorHAnsi" w:hAnsiTheme="majorHAnsi" w:cstheme="majorBidi"/>
          <w:sz w:val="22"/>
          <w:szCs w:val="22"/>
        </w:rPr>
        <w:t>najwyższą liczbę punktów (60) otrzyma oferta zawierająca najniższą całkowitą cenę ryczałtową brutto, a każda następna odpowiednio zgodnie ze wzorem:</w:t>
      </w:r>
    </w:p>
    <w:p w14:paraId="7EC038D9" w14:textId="77777777" w:rsidR="00B60CAC" w:rsidRPr="003E4073" w:rsidRDefault="00B60CAC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57A90C54" w14:textId="77777777" w:rsidR="00495776" w:rsidRDefault="6D912644" w:rsidP="00495776">
      <w:pPr>
        <w:rPr>
          <w:rFonts w:asciiTheme="majorHAnsi" w:hAnsiTheme="majorHAnsi" w:cstheme="majorBidi"/>
          <w:sz w:val="22"/>
          <w:szCs w:val="22"/>
        </w:rPr>
      </w:pPr>
      <w:r w:rsidRPr="00495776">
        <w:rPr>
          <w:rFonts w:asciiTheme="majorHAnsi" w:hAnsiTheme="majorHAnsi" w:cstheme="majorBidi"/>
          <w:sz w:val="22"/>
          <w:szCs w:val="22"/>
        </w:rPr>
        <w:t>Liczba punktów oferty w kryterium cena = (cena oferty najniżej skalkulowanej x 60): cena oferty ocenianej.</w:t>
      </w:r>
      <w:r w:rsidR="00DA4C5F" w:rsidRPr="00495776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2DBAAB5" w14:textId="77777777" w:rsidR="00495776" w:rsidRDefault="00495776" w:rsidP="00495776">
      <w:pPr>
        <w:rPr>
          <w:rFonts w:asciiTheme="majorHAnsi" w:hAnsiTheme="majorHAnsi" w:cstheme="majorBidi"/>
          <w:sz w:val="22"/>
          <w:szCs w:val="22"/>
        </w:rPr>
      </w:pPr>
    </w:p>
    <w:p w14:paraId="168D6B6A" w14:textId="142AA00E" w:rsidR="00DA4C5F" w:rsidRPr="00495776" w:rsidRDefault="00DA4C5F" w:rsidP="00495776">
      <w:pPr>
        <w:rPr>
          <w:rFonts w:asciiTheme="majorHAnsi" w:hAnsiTheme="majorHAnsi" w:cstheme="majorHAnsi"/>
          <w:sz w:val="22"/>
          <w:szCs w:val="22"/>
        </w:rPr>
      </w:pPr>
      <w:r w:rsidRPr="00495776">
        <w:rPr>
          <w:rFonts w:asciiTheme="majorHAnsi" w:hAnsiTheme="majorHAnsi" w:cstheme="majorBidi"/>
          <w:b/>
          <w:bCs/>
          <w:sz w:val="22"/>
          <w:szCs w:val="22"/>
        </w:rPr>
        <w:t>b)</w:t>
      </w:r>
      <w:r w:rsidRPr="00495776">
        <w:rPr>
          <w:rFonts w:asciiTheme="majorHAnsi" w:hAnsiTheme="majorHAnsi" w:cstheme="majorBidi"/>
          <w:sz w:val="22"/>
          <w:szCs w:val="22"/>
        </w:rPr>
        <w:t xml:space="preserve"> </w:t>
      </w:r>
      <w:r w:rsidRPr="00495776">
        <w:rPr>
          <w:rFonts w:asciiTheme="majorHAnsi" w:hAnsiTheme="majorHAnsi" w:cstheme="majorBidi"/>
          <w:b/>
          <w:bCs/>
          <w:sz w:val="22"/>
          <w:szCs w:val="22"/>
        </w:rPr>
        <w:t>W kryterium „Termin realizacji pojedynczej dostawy</w:t>
      </w:r>
      <w:r w:rsidRPr="00495776">
        <w:rPr>
          <w:rFonts w:asciiTheme="majorHAnsi" w:hAnsiTheme="majorHAnsi" w:cstheme="majorBidi"/>
          <w:sz w:val="22"/>
          <w:szCs w:val="22"/>
        </w:rPr>
        <w:t xml:space="preserve">"  najwyższą liczbę punktów (40) otrzyma oferta zawierająca najkrótszy termin pojedynczej dostawy podaną w </w:t>
      </w:r>
      <w:r w:rsidR="00994207">
        <w:rPr>
          <w:rFonts w:asciiTheme="majorHAnsi" w:hAnsiTheme="majorHAnsi" w:cstheme="majorBidi"/>
          <w:sz w:val="22"/>
          <w:szCs w:val="22"/>
        </w:rPr>
        <w:t xml:space="preserve">pełnych </w:t>
      </w:r>
      <w:r w:rsidRPr="00495776">
        <w:rPr>
          <w:rFonts w:asciiTheme="majorHAnsi" w:hAnsiTheme="majorHAnsi" w:cstheme="majorBidi"/>
          <w:sz w:val="22"/>
          <w:szCs w:val="22"/>
        </w:rPr>
        <w:t xml:space="preserve">dniach od dnia złożenia zamówienia przez Zamawiającego, a każda następna odpowiednio zgodnie ze wzorem: </w:t>
      </w:r>
      <w:r w:rsidRPr="00495776">
        <w:rPr>
          <w:rFonts w:asciiTheme="majorHAnsi" w:hAnsiTheme="majorHAnsi" w:cstheme="majorBidi"/>
          <w:sz w:val="22"/>
          <w:szCs w:val="22"/>
        </w:rPr>
        <w:br/>
      </w:r>
    </w:p>
    <w:p w14:paraId="1E015373" w14:textId="4E6DCCFA" w:rsidR="00DA4C5F" w:rsidRDefault="00DA4C5F" w:rsidP="00495776">
      <w:pPr>
        <w:pStyle w:val="Akapitzlist"/>
        <w:ind w:left="0"/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 xml:space="preserve">Liczba punktów oferty w kryterium </w:t>
      </w:r>
      <w:r>
        <w:rPr>
          <w:rFonts w:asciiTheme="majorHAnsi" w:hAnsiTheme="majorHAnsi" w:cstheme="majorBidi"/>
          <w:sz w:val="22"/>
          <w:szCs w:val="22"/>
        </w:rPr>
        <w:t>„</w:t>
      </w:r>
      <w:r w:rsidRPr="00DA4C5F">
        <w:rPr>
          <w:rFonts w:asciiTheme="majorHAnsi" w:hAnsiTheme="majorHAnsi" w:cstheme="majorBidi"/>
          <w:b/>
          <w:bCs/>
          <w:sz w:val="22"/>
          <w:szCs w:val="22"/>
        </w:rPr>
        <w:t>Termin realizacji pojedynczej dostawy”</w:t>
      </w:r>
      <w:r>
        <w:rPr>
          <w:rFonts w:asciiTheme="majorHAnsi" w:hAnsiTheme="majorHAnsi" w:cstheme="majorBidi"/>
          <w:sz w:val="22"/>
          <w:szCs w:val="22"/>
        </w:rPr>
        <w:t xml:space="preserve"> </w:t>
      </w:r>
      <w:r w:rsidRPr="003E4073">
        <w:rPr>
          <w:rFonts w:asciiTheme="majorHAnsi" w:hAnsiTheme="majorHAnsi" w:cstheme="majorBidi"/>
          <w:sz w:val="22"/>
          <w:szCs w:val="22"/>
        </w:rPr>
        <w:t xml:space="preserve"> = (</w:t>
      </w:r>
      <w:r>
        <w:rPr>
          <w:rFonts w:asciiTheme="majorHAnsi" w:hAnsiTheme="majorHAnsi" w:cstheme="majorBidi"/>
          <w:sz w:val="22"/>
          <w:szCs w:val="22"/>
        </w:rPr>
        <w:t xml:space="preserve">najkrótszy termin </w:t>
      </w:r>
      <w:proofErr w:type="spellStart"/>
      <w:r>
        <w:rPr>
          <w:rFonts w:asciiTheme="majorHAnsi" w:hAnsiTheme="majorHAnsi" w:cstheme="majorBidi"/>
          <w:sz w:val="22"/>
          <w:szCs w:val="22"/>
        </w:rPr>
        <w:t>pojedy</w:t>
      </w:r>
      <w:r w:rsidR="00994207">
        <w:rPr>
          <w:rFonts w:asciiTheme="majorHAnsi" w:hAnsiTheme="majorHAnsi" w:cstheme="majorBidi"/>
          <w:sz w:val="22"/>
          <w:szCs w:val="22"/>
        </w:rPr>
        <w:t>ń</w:t>
      </w:r>
      <w:r>
        <w:rPr>
          <w:rFonts w:asciiTheme="majorHAnsi" w:hAnsiTheme="majorHAnsi" w:cstheme="majorBidi"/>
          <w:sz w:val="22"/>
          <w:szCs w:val="22"/>
        </w:rPr>
        <w:t>czej</w:t>
      </w:r>
      <w:proofErr w:type="spellEnd"/>
      <w:r>
        <w:rPr>
          <w:rFonts w:asciiTheme="majorHAnsi" w:hAnsiTheme="majorHAnsi" w:cstheme="majorBidi"/>
          <w:sz w:val="22"/>
          <w:szCs w:val="22"/>
        </w:rPr>
        <w:t xml:space="preserve"> dostawy oferty </w:t>
      </w:r>
      <w:r w:rsidRPr="003E4073">
        <w:rPr>
          <w:rFonts w:asciiTheme="majorHAnsi" w:hAnsiTheme="majorHAnsi" w:cstheme="majorBidi"/>
          <w:sz w:val="22"/>
          <w:szCs w:val="22"/>
        </w:rPr>
        <w:t xml:space="preserve">x </w:t>
      </w:r>
      <w:r>
        <w:rPr>
          <w:rFonts w:asciiTheme="majorHAnsi" w:hAnsiTheme="majorHAnsi" w:cstheme="majorBidi"/>
          <w:sz w:val="22"/>
          <w:szCs w:val="22"/>
        </w:rPr>
        <w:t>4</w:t>
      </w:r>
      <w:r w:rsidRPr="003E4073">
        <w:rPr>
          <w:rFonts w:asciiTheme="majorHAnsi" w:hAnsiTheme="majorHAnsi" w:cstheme="majorBidi"/>
          <w:sz w:val="22"/>
          <w:szCs w:val="22"/>
        </w:rPr>
        <w:t xml:space="preserve">0): </w:t>
      </w:r>
      <w:r>
        <w:rPr>
          <w:rFonts w:asciiTheme="majorHAnsi" w:hAnsiTheme="majorHAnsi" w:cstheme="majorBidi"/>
          <w:sz w:val="22"/>
          <w:szCs w:val="22"/>
        </w:rPr>
        <w:t xml:space="preserve">termin pojedynczej dostawy oferty </w:t>
      </w:r>
      <w:r w:rsidRPr="003E4073">
        <w:rPr>
          <w:rFonts w:asciiTheme="majorHAnsi" w:hAnsiTheme="majorHAnsi" w:cstheme="majorBidi"/>
          <w:sz w:val="22"/>
          <w:szCs w:val="22"/>
        </w:rPr>
        <w:t>ocenianej.</w:t>
      </w:r>
    </w:p>
    <w:p w14:paraId="0DFB19FE" w14:textId="77777777" w:rsidR="00DA4C5F" w:rsidRPr="00DA4C5F" w:rsidRDefault="00DA4C5F" w:rsidP="00DA4C5F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bookmarkEnd w:id="2"/>
    <w:p w14:paraId="5A83EFBE" w14:textId="330BEA34" w:rsidR="00A834D6" w:rsidRPr="00872A87" w:rsidRDefault="0031013E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O</w:t>
      </w:r>
      <w:r w:rsidR="0034683A" w:rsidRPr="00872A87" w:rsidDel="00AF078D">
        <w:rPr>
          <w:rFonts w:asciiTheme="majorHAnsi" w:hAnsiTheme="majorHAnsi" w:cstheme="majorHAnsi"/>
          <w:sz w:val="22"/>
          <w:szCs w:val="22"/>
        </w:rPr>
        <w:t>cena będzie dokonana z dokładnością do dwóch miejsc po przecinku.</w:t>
      </w:r>
    </w:p>
    <w:p w14:paraId="6B248ED3" w14:textId="30FF8B16" w:rsidR="00B07B7B" w:rsidRPr="00872A87" w:rsidRDefault="00B07B7B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Suma punktów uzyskana w</w:t>
      </w:r>
      <w:r w:rsidR="004216CF">
        <w:rPr>
          <w:rFonts w:asciiTheme="majorHAnsi" w:hAnsiTheme="majorHAnsi" w:cstheme="majorHAnsi"/>
          <w:sz w:val="22"/>
          <w:szCs w:val="22"/>
        </w:rPr>
        <w:t>e wszystkich</w:t>
      </w:r>
      <w:r w:rsidRPr="00872A87">
        <w:rPr>
          <w:rFonts w:asciiTheme="majorHAnsi" w:hAnsiTheme="majorHAnsi" w:cstheme="majorHAnsi"/>
          <w:sz w:val="22"/>
          <w:szCs w:val="22"/>
        </w:rPr>
        <w:t xml:space="preserve"> kryteriach łącznie stanowić będzie wynik oceny </w:t>
      </w:r>
    </w:p>
    <w:p w14:paraId="24B4E2E2" w14:textId="5687965E" w:rsidR="00B07B7B" w:rsidRPr="00872A87" w:rsidRDefault="00B07B7B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Punkty przyznane w poszczególnych kryteriach danej ofercie zostaną do siebie dodane. Zamawiający udzieli zamówienia Wykonawcy, którego oferta uzyskała największą liczbę punktów łącznie w</w:t>
      </w:r>
      <w:r w:rsidR="004216CF">
        <w:rPr>
          <w:rFonts w:asciiTheme="majorHAnsi" w:hAnsiTheme="majorHAnsi" w:cstheme="majorHAnsi"/>
          <w:sz w:val="22"/>
          <w:szCs w:val="22"/>
        </w:rPr>
        <w:t>e</w:t>
      </w:r>
      <w:r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="004216CF">
        <w:rPr>
          <w:rFonts w:asciiTheme="majorHAnsi" w:hAnsiTheme="majorHAnsi" w:cstheme="majorHAnsi"/>
          <w:sz w:val="22"/>
          <w:szCs w:val="22"/>
        </w:rPr>
        <w:t>wszystkich</w:t>
      </w:r>
      <w:r w:rsidR="004216CF"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kryteriach.</w:t>
      </w:r>
    </w:p>
    <w:p w14:paraId="7A40A08C" w14:textId="4A70B1DF" w:rsidR="00B07B7B" w:rsidRPr="00A83648" w:rsidRDefault="00B07B7B" w:rsidP="00B525A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D6CE959" w14:textId="50949624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WADIUM.</w:t>
      </w:r>
    </w:p>
    <w:p w14:paraId="3E44E16B" w14:textId="117351A9" w:rsidR="009F40F2" w:rsidRPr="00A83648" w:rsidRDefault="009F40F2" w:rsidP="0027379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22DCD22" w14:textId="6089F513" w:rsidR="009F40F2" w:rsidRPr="00A83648" w:rsidRDefault="00E67797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ZABEZPIECZENIA NALEŻYTEGO WYKONANIA UMOWY.</w:t>
      </w:r>
    </w:p>
    <w:p w14:paraId="0F871A03" w14:textId="7A740AF0" w:rsidR="009F40F2" w:rsidRPr="00A83648" w:rsidRDefault="6D912644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Zamawiający nie wymaga wniesienia zabezpieczenia należytego wykonania umowy.  </w:t>
      </w:r>
    </w:p>
    <w:p w14:paraId="3496A3C7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RODO</w:t>
      </w: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administrator wyznaczył Inspektora Ochrony Danych, nadzorującego prawidłowość przetwarzania danych osobowych, z którym można skontaktować się za pośrednictwem adresu e-mail: </w:t>
      </w:r>
      <w:hyperlink r:id="rId33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78 ust. 1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obowiązek podania przez Wykonawcę danych osobowych jest wymogiem ustawowym, określonym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 xml:space="preserve">w przepisach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60CABC65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 odniesieniu do danych osobowych, przekazanych przez Wykonawcę, decyzje nie będą podejmowane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sposób zautomatyzowany, stosowanie do art. 22 RODO,</w:t>
      </w:r>
    </w:p>
    <w:p w14:paraId="5CAA6A19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16 RODO prawo do sprostowania swoich danych osobowych, przy czym skorzystanie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3F9E24ED" w14:textId="30FB7310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399DAD6" w14:textId="35DD0D4D" w:rsidR="00593860" w:rsidRPr="00A83648" w:rsidRDefault="00E67797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5D1C55C5" w:rsidR="009C451A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Zamawiający 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  <w:r w:rsidR="00FE407C" w:rsidRPr="00A83648">
        <w:rPr>
          <w:rFonts w:asciiTheme="majorHAnsi" w:hAnsiTheme="majorHAnsi" w:cstheme="majorHAnsi"/>
          <w:sz w:val="22"/>
          <w:szCs w:val="22"/>
        </w:rPr>
        <w:t>Wykonawca może złożyć ofertę na jedną lub więcej części zamówienia</w:t>
      </w:r>
      <w:r w:rsidR="009C451A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26D01983" w:rsidR="00593860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p w14:paraId="186F8677" w14:textId="752A5A87" w:rsidR="00E67797" w:rsidRDefault="00E67797" w:rsidP="00E67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DFD4D1" w14:textId="77777777" w:rsidR="00E67797" w:rsidRPr="00E67797" w:rsidRDefault="00E67797" w:rsidP="00E677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7D9310" w14:textId="3E10D535" w:rsidR="00593860" w:rsidRPr="00A83648" w:rsidRDefault="00E67797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KORZYSTANIA Z PLATFORMY ZAKUPOWEJ</w:t>
      </w:r>
    </w:p>
    <w:p w14:paraId="14ED33DB" w14:textId="6AEB0DC1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4E288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4C5C31B8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który dostępny jest pod adresem: https:/</w:t>
      </w:r>
      <w:hyperlink r:id="rId34" w:history="1">
        <w:r w:rsidR="006B0FB9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/miniportal.u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zp.gov.pl/,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dostępnego pod adresem: https://epuap.gov.pl/wps/portal </w:t>
      </w:r>
    </w:p>
    <w:p w14:paraId="606A846C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Wykonawca posiadający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ma dostęp do następujących formularzy: „Formularz do złożenia, zmiany, wycofania oferty lub wniosku” oraz do „Formularza do komunikacji”. </w:t>
      </w:r>
    </w:p>
    <w:p w14:paraId="71670863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18B9A00C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243DBD5C" w14:textId="47133088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F963375" w14:textId="5FC2E9AF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 </w:t>
      </w:r>
    </w:p>
    <w:p w14:paraId="704102D1" w14:textId="77777777" w:rsidR="00F21CA7" w:rsidRPr="00A83648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00EA5906" w14:textId="7A436D84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w szczegółach danego postępowania. 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uwedupl</w:t>
      </w:r>
      <w:proofErr w:type="spellEnd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wb</w:t>
      </w:r>
      <w:proofErr w:type="spellEnd"/>
    </w:p>
    <w:p w14:paraId="3965FB18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 należy sporządzić w języku polskim. </w:t>
      </w:r>
    </w:p>
    <w:p w14:paraId="185E9F3D" w14:textId="362195DE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formularzu oferty Wykonawca zobowiązany jest podać adres skrzynki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korespondencja związana z postępowaniem. </w:t>
      </w:r>
    </w:p>
    <w:p w14:paraId="010FAC19" w14:textId="721A346F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r w:rsidR="0089792D" w:rsidRPr="00A83648">
        <w:rPr>
          <w:rFonts w:asciiTheme="majorHAnsi" w:hAnsiTheme="majorHAnsi" w:cstheme="majorHAnsi"/>
          <w:b/>
          <w:bCs/>
          <w:sz w:val="22"/>
          <w:szCs w:val="22"/>
        </w:rPr>
        <w:t>się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̨, pod rygorem nieważności, w formie elektronicznej. </w:t>
      </w:r>
    </w:p>
    <w:p w14:paraId="5149F2C1" w14:textId="0C545AD6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 xml:space="preserve">strukcji użytkownika”, dostępnej na stronie: https://miniportal.uzp.gov.pl/ </w:t>
      </w:r>
    </w:p>
    <w:p w14:paraId="1CF2AE62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tajemnicę przedsiębiorstwa” a następnie wraz z plikami stanowiącymi jawną część należy ten plik zaszyfrować́. </w:t>
      </w:r>
    </w:p>
    <w:p w14:paraId="2518A37F" w14:textId="11A13ED6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D54450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po upływie terminu do składania ofert nie może skutecznie dokonać zmiany ani wycofać́ złożonej oferty. </w:t>
      </w:r>
    </w:p>
    <w:p w14:paraId="567BA3F7" w14:textId="77777777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32B617" w14:textId="53B9CFEE" w:rsidR="00593860" w:rsidRPr="00A83648" w:rsidRDefault="00E67797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3806613" w14:textId="77777777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dodatkowych formalności, jakie muszą zostać dopełnione w celu zawarcia umowy w sprawie zamówienia publicznego. </w:t>
      </w:r>
    </w:p>
    <w:p w14:paraId="7FD8B8F2" w14:textId="3ACAEC08" w:rsidR="00593860" w:rsidRPr="00A83648" w:rsidRDefault="00E67797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120E603D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do SWZ.</w:t>
      </w:r>
    </w:p>
    <w:p w14:paraId="74772392" w14:textId="11EEA0D2" w:rsidR="00593860" w:rsidRPr="00A83648" w:rsidRDefault="00E67797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POUCZENIE O ŚRODKACH OCHRONY PRAWNEJ PRZYSŁUGUJĄCYCH WYKONAWCY</w:t>
      </w:r>
    </w:p>
    <w:p w14:paraId="59F1183E" w14:textId="24B61837" w:rsidR="00593860" w:rsidRPr="00A83648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8A1A531" w14:textId="03980EB1" w:rsidR="00B47EDE" w:rsidRPr="00A83648" w:rsidRDefault="00E67797" w:rsidP="00995D6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ZAŁĄCZNIKI.</w:t>
      </w:r>
    </w:p>
    <w:p w14:paraId="1EDF498B" w14:textId="5F6739B3" w:rsidR="00B47EDE" w:rsidRPr="00A83648" w:rsidRDefault="00995D6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5348C3C9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1a do SWZ dla części 1</w:t>
      </w:r>
    </w:p>
    <w:p w14:paraId="298BE1D8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1b do SWZ dla części 2</w:t>
      </w:r>
    </w:p>
    <w:p w14:paraId="7663DD8D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1c do SWZ dla części 3</w:t>
      </w:r>
    </w:p>
    <w:p w14:paraId="7037725D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1d do SWZ dla części 4</w:t>
      </w:r>
    </w:p>
    <w:p w14:paraId="1A2B5BA3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1e do SWZ dla części 5</w:t>
      </w:r>
    </w:p>
    <w:p w14:paraId="0C674DD1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1f do SWZ dla części 6</w:t>
      </w:r>
    </w:p>
    <w:p w14:paraId="7220F6FB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1g do SWZ dla części 7</w:t>
      </w:r>
    </w:p>
    <w:p w14:paraId="75AFF3E4" w14:textId="049C7D23" w:rsidR="003E4073" w:rsidRDefault="00684466" w:rsidP="003E4073">
      <w:pPr>
        <w:pStyle w:val="Akapitzlist"/>
        <w:numPr>
          <w:ilvl w:val="1"/>
          <w:numId w:val="17"/>
        </w:num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="Calibri" w:hAnsiTheme="majorHAnsi" w:cstheme="majorBidi"/>
          <w:sz w:val="22"/>
          <w:szCs w:val="22"/>
        </w:rPr>
        <w:lastRenderedPageBreak/>
        <w:t>z</w:t>
      </w:r>
      <w:r w:rsidR="003E4073" w:rsidRPr="6D912644">
        <w:rPr>
          <w:rFonts w:asciiTheme="majorHAnsi" w:eastAsia="Calibri" w:hAnsiTheme="majorHAnsi" w:cstheme="majorBidi"/>
          <w:sz w:val="22"/>
          <w:szCs w:val="22"/>
        </w:rPr>
        <w:t>ałącznik nr 1h do SWZ dla części 8</w:t>
      </w:r>
    </w:p>
    <w:p w14:paraId="5C7707C7" w14:textId="6A2124FE" w:rsidR="009156F1" w:rsidRPr="00A83648" w:rsidRDefault="00492A9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</w:p>
    <w:p w14:paraId="092D63E1" w14:textId="30547B39" w:rsidR="005E2441" w:rsidRDefault="005E244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</w:t>
      </w:r>
      <w:r>
        <w:rPr>
          <w:rFonts w:asciiTheme="majorHAnsi" w:hAnsiTheme="majorHAnsi" w:cstheme="majorHAnsi"/>
          <w:sz w:val="22"/>
          <w:szCs w:val="22"/>
        </w:rPr>
        <w:t xml:space="preserve"> dotyczącego przesłanek wykluczenia, o których mowa w art. 5k Rozporządzenia</w:t>
      </w:r>
    </w:p>
    <w:p w14:paraId="45904E7C" w14:textId="063A647B" w:rsidR="00364AA4" w:rsidRPr="00A83648" w:rsidRDefault="00364AA4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</w:p>
    <w:p w14:paraId="7EFB2374" w14:textId="77777777" w:rsidR="00364AA4" w:rsidRPr="00A83648" w:rsidRDefault="00364AA4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</w:p>
    <w:p w14:paraId="323C3F9A" w14:textId="518ABBFE" w:rsidR="00492A9A" w:rsidRDefault="00492A9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>
        <w:rPr>
          <w:rFonts w:asciiTheme="majorHAnsi" w:hAnsiTheme="majorHAnsi" w:cstheme="majorHAnsi"/>
          <w:sz w:val="22"/>
          <w:szCs w:val="22"/>
        </w:rPr>
        <w:t>oświadczenia Wykonawcy dotyczącego sankcyjnych przesłanek wykluczenia oraz</w:t>
      </w:r>
    </w:p>
    <w:p w14:paraId="525AEA1F" w14:textId="6ED873E2" w:rsidR="00D97AE5" w:rsidRPr="00A83648" w:rsidRDefault="00D97AE5" w:rsidP="00D97AE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6a wzór oświadczenia podmiotu udostępniającego zasoby dotyczącego sankcyjnych przesłanek wykluczenia</w:t>
      </w:r>
    </w:p>
    <w:p w14:paraId="3ADE3175" w14:textId="76E4F6C9" w:rsidR="00492A9A" w:rsidRPr="00A83648" w:rsidRDefault="0015208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f</w:t>
      </w:r>
      <w:r w:rsidR="00492A9A" w:rsidRPr="00A83648">
        <w:rPr>
          <w:rFonts w:asciiTheme="majorHAnsi" w:hAnsiTheme="majorHAnsi" w:cstheme="majorHAnsi"/>
          <w:sz w:val="22"/>
          <w:szCs w:val="22"/>
        </w:rPr>
        <w:t>ormularz</w:t>
      </w:r>
      <w:r w:rsidR="00C1695F" w:rsidRPr="00A83648">
        <w:rPr>
          <w:rFonts w:asciiTheme="majorHAnsi" w:hAnsiTheme="majorHAnsi" w:cstheme="majorHAnsi"/>
          <w:sz w:val="22"/>
          <w:szCs w:val="22"/>
        </w:rPr>
        <w:t>a</w:t>
      </w:r>
      <w:r w:rsidR="00492A9A" w:rsidRPr="00A83648">
        <w:rPr>
          <w:rFonts w:asciiTheme="majorHAnsi" w:hAnsiTheme="majorHAnsi" w:cstheme="majorHAnsi"/>
          <w:sz w:val="22"/>
          <w:szCs w:val="22"/>
        </w:rPr>
        <w:t xml:space="preserve"> oferty</w:t>
      </w:r>
      <w:r w:rsidR="00460E64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6B0FB9" w:rsidRPr="00A83648">
        <w:rPr>
          <w:rFonts w:asciiTheme="majorHAnsi" w:hAnsiTheme="majorHAnsi" w:cstheme="majorHAnsi"/>
          <w:sz w:val="22"/>
          <w:szCs w:val="22"/>
        </w:rPr>
        <w:t>–</w:t>
      </w:r>
      <w:r w:rsidR="00B542AB">
        <w:rPr>
          <w:rFonts w:asciiTheme="majorHAnsi" w:hAnsiTheme="majorHAnsi" w:cstheme="majorHAnsi"/>
          <w:sz w:val="22"/>
          <w:szCs w:val="22"/>
        </w:rPr>
        <w:t xml:space="preserve"> </w:t>
      </w:r>
      <w:r w:rsidR="00460E64" w:rsidRPr="00A83648">
        <w:rPr>
          <w:rFonts w:asciiTheme="majorHAnsi" w:hAnsiTheme="majorHAnsi" w:cstheme="majorHAnsi"/>
          <w:sz w:val="22"/>
          <w:szCs w:val="22"/>
        </w:rPr>
        <w:t>treść oferty</w:t>
      </w:r>
    </w:p>
    <w:p w14:paraId="6F35297F" w14:textId="72E81BBB" w:rsidR="00E67797" w:rsidRPr="00CC1D5C" w:rsidRDefault="008A1E19" w:rsidP="002534E1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CC1D5C">
        <w:rPr>
          <w:rFonts w:asciiTheme="majorHAnsi" w:hAnsiTheme="majorHAnsi" w:cstheme="majorHAnsi"/>
          <w:sz w:val="22"/>
          <w:szCs w:val="22"/>
        </w:rPr>
        <w:t xml:space="preserve">Projektowane postanowienia umowy w sprawie zamówienia - </w:t>
      </w:r>
      <w:r w:rsidR="00492A9A" w:rsidRPr="00CC1D5C">
        <w:rPr>
          <w:rFonts w:asciiTheme="majorHAnsi" w:hAnsiTheme="majorHAnsi" w:cstheme="majorHAnsi"/>
          <w:sz w:val="22"/>
          <w:szCs w:val="22"/>
        </w:rPr>
        <w:t>Wzór umowy</w:t>
      </w:r>
    </w:p>
    <w:sectPr w:rsidR="00E67797" w:rsidRPr="00CC1D5C" w:rsidSect="00457DCF">
      <w:headerReference w:type="default" r:id="rId35"/>
      <w:footerReference w:type="even" r:id="rId36"/>
      <w:footerReference w:type="default" r:id="rId37"/>
      <w:pgSz w:w="11906" w:h="16838"/>
      <w:pgMar w:top="168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EDC3" w14:textId="77777777" w:rsidR="0075124E" w:rsidRDefault="0075124E" w:rsidP="008D770B">
      <w:r>
        <w:separator/>
      </w:r>
    </w:p>
  </w:endnote>
  <w:endnote w:type="continuationSeparator" w:id="0">
    <w:p w14:paraId="25A5E76F" w14:textId="77777777" w:rsidR="0075124E" w:rsidRDefault="0075124E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E5C0" w14:textId="2D7CC331" w:rsidR="00A84335" w:rsidRDefault="00A84335" w:rsidP="00BB553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322AC1E" w14:textId="77777777" w:rsidR="00A84335" w:rsidRDefault="00A84335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A84335" w:rsidRPr="00E51D28" w:rsidRDefault="00A84335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16D2C904" w:rsidR="00A84335" w:rsidRPr="00E51D28" w:rsidRDefault="006D76A6" w:rsidP="006D76A6">
    <w:pPr>
      <w:pStyle w:val="Stopka"/>
      <w:tabs>
        <w:tab w:val="clear" w:pos="4536"/>
        <w:tab w:val="clear" w:pos="9072"/>
        <w:tab w:val="left" w:pos="2250"/>
      </w:tabs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FE4223">
      <w:rPr>
        <w:noProof/>
      </w:rPr>
      <w:drawing>
        <wp:inline distT="0" distB="0" distL="0" distR="0" wp14:anchorId="6D800946" wp14:editId="63F0A2B6">
          <wp:extent cx="4105275" cy="381000"/>
          <wp:effectExtent l="0" t="0" r="9525" b="0"/>
          <wp:docPr id="5" name="Obraz 5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2363" w14:textId="77777777" w:rsidR="0075124E" w:rsidRDefault="0075124E" w:rsidP="008D770B">
      <w:r>
        <w:separator/>
      </w:r>
    </w:p>
  </w:footnote>
  <w:footnote w:type="continuationSeparator" w:id="0">
    <w:p w14:paraId="675C477D" w14:textId="77777777" w:rsidR="0075124E" w:rsidRDefault="0075124E" w:rsidP="008D770B">
      <w:r>
        <w:continuationSeparator/>
      </w:r>
    </w:p>
  </w:footnote>
  <w:footnote w:id="1">
    <w:p w14:paraId="1B456E09" w14:textId="321F5C8A" w:rsidR="00A84335" w:rsidRDefault="00A84335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B8B8" w14:textId="77777777" w:rsidR="00457DCF" w:rsidRPr="00457DCF" w:rsidRDefault="00457DCF" w:rsidP="00457DCF">
    <w:pPr>
      <w:jc w:val="both"/>
      <w:rPr>
        <w:rStyle w:val="Uwydatnienie"/>
        <w:rFonts w:asciiTheme="majorHAnsi" w:hAnsiTheme="majorHAnsi" w:cstheme="majorBidi"/>
        <w:sz w:val="22"/>
        <w:szCs w:val="22"/>
      </w:rPr>
    </w:pPr>
    <w:r w:rsidRPr="6D912644">
      <w:rPr>
        <w:rStyle w:val="Uwydatnienie"/>
        <w:rFonts w:asciiTheme="majorHAnsi" w:hAnsiTheme="majorHAnsi" w:cstheme="majorBidi"/>
        <w:sz w:val="22"/>
        <w:szCs w:val="22"/>
      </w:rPr>
      <w:t>Znak</w:t>
    </w:r>
    <w:r w:rsidRPr="00457DCF">
      <w:rPr>
        <w:rStyle w:val="Uwydatnienie"/>
        <w:rFonts w:asciiTheme="majorHAnsi" w:hAnsiTheme="majorHAnsi" w:cstheme="majorBidi"/>
        <w:sz w:val="22"/>
        <w:szCs w:val="22"/>
      </w:rPr>
      <w:t>:WB-372/IM/Z-30/22</w:t>
    </w:r>
  </w:p>
  <w:p w14:paraId="23308B2D" w14:textId="77777777" w:rsidR="00A84335" w:rsidRDefault="00A84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165E8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22195"/>
    <w:multiLevelType w:val="multilevel"/>
    <w:tmpl w:val="6BF636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7130B"/>
    <w:multiLevelType w:val="hybridMultilevel"/>
    <w:tmpl w:val="92A8E34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4A16D5"/>
    <w:multiLevelType w:val="multilevel"/>
    <w:tmpl w:val="22DC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5005B6"/>
    <w:multiLevelType w:val="hybridMultilevel"/>
    <w:tmpl w:val="C96A9EDA"/>
    <w:lvl w:ilvl="0" w:tplc="9FD6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66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E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20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9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1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D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4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4998"/>
    <w:multiLevelType w:val="hybridMultilevel"/>
    <w:tmpl w:val="0B24E36C"/>
    <w:lvl w:ilvl="0" w:tplc="479C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1C3733"/>
    <w:multiLevelType w:val="hybridMultilevel"/>
    <w:tmpl w:val="3CB684F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8147E1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0941A"/>
    <w:multiLevelType w:val="hybridMultilevel"/>
    <w:tmpl w:val="775EC06E"/>
    <w:lvl w:ilvl="0" w:tplc="CA025DA2">
      <w:start w:val="1"/>
      <w:numFmt w:val="decimal"/>
      <w:lvlText w:val="%1)"/>
      <w:lvlJc w:val="left"/>
      <w:pPr>
        <w:ind w:left="720" w:hanging="360"/>
      </w:pPr>
    </w:lvl>
    <w:lvl w:ilvl="1" w:tplc="6B9E0B60">
      <w:start w:val="1"/>
      <w:numFmt w:val="lowerLetter"/>
      <w:lvlText w:val="%2."/>
      <w:lvlJc w:val="left"/>
      <w:pPr>
        <w:ind w:left="1440" w:hanging="360"/>
      </w:pPr>
    </w:lvl>
    <w:lvl w:ilvl="2" w:tplc="D744D68E">
      <w:start w:val="1"/>
      <w:numFmt w:val="lowerRoman"/>
      <w:lvlText w:val="%3."/>
      <w:lvlJc w:val="right"/>
      <w:pPr>
        <w:ind w:left="2160" w:hanging="180"/>
      </w:pPr>
    </w:lvl>
    <w:lvl w:ilvl="3" w:tplc="8BB89204">
      <w:start w:val="1"/>
      <w:numFmt w:val="decimal"/>
      <w:lvlText w:val="%4."/>
      <w:lvlJc w:val="left"/>
      <w:pPr>
        <w:ind w:left="2880" w:hanging="360"/>
      </w:pPr>
    </w:lvl>
    <w:lvl w:ilvl="4" w:tplc="2E024FF4">
      <w:start w:val="1"/>
      <w:numFmt w:val="lowerLetter"/>
      <w:lvlText w:val="%5."/>
      <w:lvlJc w:val="left"/>
      <w:pPr>
        <w:ind w:left="3600" w:hanging="360"/>
      </w:pPr>
    </w:lvl>
    <w:lvl w:ilvl="5" w:tplc="9CE4767C">
      <w:start w:val="1"/>
      <w:numFmt w:val="lowerRoman"/>
      <w:lvlText w:val="%6."/>
      <w:lvlJc w:val="right"/>
      <w:pPr>
        <w:ind w:left="4320" w:hanging="180"/>
      </w:pPr>
    </w:lvl>
    <w:lvl w:ilvl="6" w:tplc="FE54612A">
      <w:start w:val="1"/>
      <w:numFmt w:val="decimal"/>
      <w:lvlText w:val="%7."/>
      <w:lvlJc w:val="left"/>
      <w:pPr>
        <w:ind w:left="5040" w:hanging="360"/>
      </w:pPr>
    </w:lvl>
    <w:lvl w:ilvl="7" w:tplc="19F4FA18">
      <w:start w:val="1"/>
      <w:numFmt w:val="lowerLetter"/>
      <w:lvlText w:val="%8."/>
      <w:lvlJc w:val="left"/>
      <w:pPr>
        <w:ind w:left="5760" w:hanging="360"/>
      </w:pPr>
    </w:lvl>
    <w:lvl w:ilvl="8" w:tplc="2F94C63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0DAE"/>
    <w:multiLevelType w:val="hybridMultilevel"/>
    <w:tmpl w:val="70A837CE"/>
    <w:lvl w:ilvl="0" w:tplc="FFA88C9A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287EF0"/>
    <w:multiLevelType w:val="multilevel"/>
    <w:tmpl w:val="13643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B0802"/>
    <w:multiLevelType w:val="multilevel"/>
    <w:tmpl w:val="B494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586413"/>
    <w:multiLevelType w:val="hybridMultilevel"/>
    <w:tmpl w:val="DE4235BE"/>
    <w:lvl w:ilvl="0" w:tplc="4AE83130">
      <w:start w:val="1"/>
      <w:numFmt w:val="decimal"/>
      <w:lvlText w:val="§ %1"/>
      <w:lvlJc w:val="left"/>
      <w:pPr>
        <w:ind w:left="360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E4AC9"/>
    <w:multiLevelType w:val="hybridMultilevel"/>
    <w:tmpl w:val="6D04A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C43B9A"/>
    <w:multiLevelType w:val="hybridMultilevel"/>
    <w:tmpl w:val="850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5C9E"/>
    <w:multiLevelType w:val="hybridMultilevel"/>
    <w:tmpl w:val="80024666"/>
    <w:lvl w:ilvl="0" w:tplc="50A2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D6E1E"/>
    <w:multiLevelType w:val="multilevel"/>
    <w:tmpl w:val="52108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4"/>
  </w:num>
  <w:num w:numId="4">
    <w:abstractNumId w:val="23"/>
  </w:num>
  <w:num w:numId="5">
    <w:abstractNumId w:val="8"/>
  </w:num>
  <w:num w:numId="6">
    <w:abstractNumId w:val="30"/>
  </w:num>
  <w:num w:numId="7">
    <w:abstractNumId w:val="3"/>
  </w:num>
  <w:num w:numId="8">
    <w:abstractNumId w:val="27"/>
  </w:num>
  <w:num w:numId="9">
    <w:abstractNumId w:val="12"/>
  </w:num>
  <w:num w:numId="10">
    <w:abstractNumId w:val="7"/>
  </w:num>
  <w:num w:numId="11">
    <w:abstractNumId w:val="5"/>
  </w:num>
  <w:num w:numId="12">
    <w:abstractNumId w:val="42"/>
  </w:num>
  <w:num w:numId="13">
    <w:abstractNumId w:val="33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32"/>
  </w:num>
  <w:num w:numId="19">
    <w:abstractNumId w:val="14"/>
  </w:num>
  <w:num w:numId="20">
    <w:abstractNumId w:val="36"/>
  </w:num>
  <w:num w:numId="21">
    <w:abstractNumId w:val="37"/>
  </w:num>
  <w:num w:numId="22">
    <w:abstractNumId w:val="38"/>
  </w:num>
  <w:num w:numId="23">
    <w:abstractNumId w:val="16"/>
  </w:num>
  <w:num w:numId="24">
    <w:abstractNumId w:val="19"/>
  </w:num>
  <w:num w:numId="25">
    <w:abstractNumId w:val="13"/>
  </w:num>
  <w:num w:numId="26">
    <w:abstractNumId w:val="28"/>
  </w:num>
  <w:num w:numId="27">
    <w:abstractNumId w:val="43"/>
  </w:num>
  <w:num w:numId="28">
    <w:abstractNumId w:val="9"/>
  </w:num>
  <w:num w:numId="29">
    <w:abstractNumId w:val="22"/>
  </w:num>
  <w:num w:numId="30">
    <w:abstractNumId w:val="0"/>
  </w:num>
  <w:num w:numId="31">
    <w:abstractNumId w:val="31"/>
  </w:num>
  <w:num w:numId="32">
    <w:abstractNumId w:val="17"/>
  </w:num>
  <w:num w:numId="3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Theme="minorHAnsi" w:eastAsiaTheme="minorHAnsi" w:hAnsiTheme="minorHAnsi" w:cstheme="minorBid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5"/>
  </w:num>
  <w:num w:numId="35">
    <w:abstractNumId w:val="1"/>
  </w:num>
  <w:num w:numId="36">
    <w:abstractNumId w:val="40"/>
  </w:num>
  <w:num w:numId="37">
    <w:abstractNumId w:val="39"/>
  </w:num>
  <w:num w:numId="38">
    <w:abstractNumId w:val="41"/>
  </w:num>
  <w:num w:numId="39">
    <w:abstractNumId w:val="4"/>
  </w:num>
  <w:num w:numId="40">
    <w:abstractNumId w:val="35"/>
  </w:num>
  <w:num w:numId="41">
    <w:abstractNumId w:val="11"/>
  </w:num>
  <w:num w:numId="42">
    <w:abstractNumId w:val="6"/>
  </w:num>
  <w:num w:numId="43">
    <w:abstractNumId w:val="26"/>
    <w:lvlOverride w:ilvl="0">
      <w:lvl w:ilvl="0">
        <w:numFmt w:val="lowerLetter"/>
        <w:lvlText w:val="%1."/>
        <w:lvlJc w:val="left"/>
      </w:lvl>
    </w:lvlOverride>
  </w:num>
  <w:num w:numId="44">
    <w:abstractNumId w:val="25"/>
    <w:lvlOverride w:ilvl="0">
      <w:lvl w:ilvl="0">
        <w:numFmt w:val="decimal"/>
        <w:lvlText w:val="%1."/>
        <w:lvlJc w:val="left"/>
      </w:lvl>
    </w:lvlOverride>
  </w:num>
  <w:num w:numId="45">
    <w:abstractNumId w:val="25"/>
    <w:lvlOverride w:ilvl="0">
      <w:lvl w:ilvl="0">
        <w:numFmt w:val="decimal"/>
        <w:lvlText w:val="%1."/>
        <w:lvlJc w:val="left"/>
      </w:lvl>
    </w:lvlOverride>
  </w:num>
  <w:num w:numId="46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07DBC"/>
    <w:rsid w:val="000164C6"/>
    <w:rsid w:val="000246E6"/>
    <w:rsid w:val="00034B87"/>
    <w:rsid w:val="00036AAE"/>
    <w:rsid w:val="00043B5D"/>
    <w:rsid w:val="00043E97"/>
    <w:rsid w:val="00050361"/>
    <w:rsid w:val="0005107E"/>
    <w:rsid w:val="0005282F"/>
    <w:rsid w:val="00054E03"/>
    <w:rsid w:val="00061C8D"/>
    <w:rsid w:val="00061E43"/>
    <w:rsid w:val="0006279C"/>
    <w:rsid w:val="00065425"/>
    <w:rsid w:val="000658E1"/>
    <w:rsid w:val="000663CB"/>
    <w:rsid w:val="0006741E"/>
    <w:rsid w:val="00074851"/>
    <w:rsid w:val="00075AEA"/>
    <w:rsid w:val="000779A0"/>
    <w:rsid w:val="000826A6"/>
    <w:rsid w:val="00086A81"/>
    <w:rsid w:val="00090D6C"/>
    <w:rsid w:val="00091F1F"/>
    <w:rsid w:val="00093D81"/>
    <w:rsid w:val="000964D1"/>
    <w:rsid w:val="000A3889"/>
    <w:rsid w:val="000A3969"/>
    <w:rsid w:val="000B29B7"/>
    <w:rsid w:val="000B2C88"/>
    <w:rsid w:val="000B5017"/>
    <w:rsid w:val="000C311C"/>
    <w:rsid w:val="000C59D5"/>
    <w:rsid w:val="000C6E0A"/>
    <w:rsid w:val="000D2943"/>
    <w:rsid w:val="000D4470"/>
    <w:rsid w:val="000E0006"/>
    <w:rsid w:val="000E0C1D"/>
    <w:rsid w:val="000E1073"/>
    <w:rsid w:val="000F2980"/>
    <w:rsid w:val="00101B9F"/>
    <w:rsid w:val="00102061"/>
    <w:rsid w:val="001055A6"/>
    <w:rsid w:val="00107220"/>
    <w:rsid w:val="001108EB"/>
    <w:rsid w:val="00112822"/>
    <w:rsid w:val="001130DB"/>
    <w:rsid w:val="00113884"/>
    <w:rsid w:val="00114058"/>
    <w:rsid w:val="00114E2E"/>
    <w:rsid w:val="001338E9"/>
    <w:rsid w:val="00136995"/>
    <w:rsid w:val="00137E38"/>
    <w:rsid w:val="00140C25"/>
    <w:rsid w:val="00145CCF"/>
    <w:rsid w:val="001460BD"/>
    <w:rsid w:val="00147FB0"/>
    <w:rsid w:val="00151799"/>
    <w:rsid w:val="00152087"/>
    <w:rsid w:val="00171A7C"/>
    <w:rsid w:val="001754F1"/>
    <w:rsid w:val="00185850"/>
    <w:rsid w:val="00190803"/>
    <w:rsid w:val="00191EA4"/>
    <w:rsid w:val="00195C73"/>
    <w:rsid w:val="00196719"/>
    <w:rsid w:val="001A47F6"/>
    <w:rsid w:val="001B16A0"/>
    <w:rsid w:val="001B2ED2"/>
    <w:rsid w:val="001B397C"/>
    <w:rsid w:val="001C0145"/>
    <w:rsid w:val="001C0F82"/>
    <w:rsid w:val="001C181A"/>
    <w:rsid w:val="001C5545"/>
    <w:rsid w:val="001D499F"/>
    <w:rsid w:val="001D58CF"/>
    <w:rsid w:val="001E3227"/>
    <w:rsid w:val="001E54FD"/>
    <w:rsid w:val="001E7D41"/>
    <w:rsid w:val="001F11E1"/>
    <w:rsid w:val="001F16F7"/>
    <w:rsid w:val="001F23E2"/>
    <w:rsid w:val="001F5A6C"/>
    <w:rsid w:val="001F67C3"/>
    <w:rsid w:val="00202CBE"/>
    <w:rsid w:val="00205CA2"/>
    <w:rsid w:val="00220D0E"/>
    <w:rsid w:val="002216FC"/>
    <w:rsid w:val="00234806"/>
    <w:rsid w:val="00237BF1"/>
    <w:rsid w:val="00237ECA"/>
    <w:rsid w:val="00244EEF"/>
    <w:rsid w:val="002456E0"/>
    <w:rsid w:val="002479D9"/>
    <w:rsid w:val="002554E6"/>
    <w:rsid w:val="00255FFE"/>
    <w:rsid w:val="00266335"/>
    <w:rsid w:val="0026657B"/>
    <w:rsid w:val="00273798"/>
    <w:rsid w:val="00280A41"/>
    <w:rsid w:val="0028326E"/>
    <w:rsid w:val="00283383"/>
    <w:rsid w:val="00285A3D"/>
    <w:rsid w:val="00286367"/>
    <w:rsid w:val="00287965"/>
    <w:rsid w:val="00290977"/>
    <w:rsid w:val="002940F1"/>
    <w:rsid w:val="002971FA"/>
    <w:rsid w:val="0029736D"/>
    <w:rsid w:val="002A39B9"/>
    <w:rsid w:val="002A4A55"/>
    <w:rsid w:val="002B15E3"/>
    <w:rsid w:val="002C101F"/>
    <w:rsid w:val="002C14FA"/>
    <w:rsid w:val="002D00B9"/>
    <w:rsid w:val="002D582B"/>
    <w:rsid w:val="002D6967"/>
    <w:rsid w:val="002E41DF"/>
    <w:rsid w:val="002F2C79"/>
    <w:rsid w:val="002F30BB"/>
    <w:rsid w:val="002F6175"/>
    <w:rsid w:val="002F6DCC"/>
    <w:rsid w:val="00300730"/>
    <w:rsid w:val="00300938"/>
    <w:rsid w:val="0030163B"/>
    <w:rsid w:val="00303300"/>
    <w:rsid w:val="00303B8F"/>
    <w:rsid w:val="0030681A"/>
    <w:rsid w:val="003078D8"/>
    <w:rsid w:val="0031013E"/>
    <w:rsid w:val="00312B0E"/>
    <w:rsid w:val="00315C55"/>
    <w:rsid w:val="003220CD"/>
    <w:rsid w:val="0032712E"/>
    <w:rsid w:val="00327336"/>
    <w:rsid w:val="00332A8B"/>
    <w:rsid w:val="00334FE7"/>
    <w:rsid w:val="003358CC"/>
    <w:rsid w:val="0033726A"/>
    <w:rsid w:val="0034683A"/>
    <w:rsid w:val="003612CD"/>
    <w:rsid w:val="00363C51"/>
    <w:rsid w:val="00364AA4"/>
    <w:rsid w:val="003673CA"/>
    <w:rsid w:val="0036772B"/>
    <w:rsid w:val="00372612"/>
    <w:rsid w:val="00373C73"/>
    <w:rsid w:val="00374191"/>
    <w:rsid w:val="00374373"/>
    <w:rsid w:val="00380311"/>
    <w:rsid w:val="00381B03"/>
    <w:rsid w:val="00384F80"/>
    <w:rsid w:val="00387F76"/>
    <w:rsid w:val="0039153B"/>
    <w:rsid w:val="00393AA3"/>
    <w:rsid w:val="00394A3A"/>
    <w:rsid w:val="00394B01"/>
    <w:rsid w:val="00396590"/>
    <w:rsid w:val="003979F0"/>
    <w:rsid w:val="00397EC1"/>
    <w:rsid w:val="003A7C3A"/>
    <w:rsid w:val="003B0E50"/>
    <w:rsid w:val="003B2C5F"/>
    <w:rsid w:val="003B4A90"/>
    <w:rsid w:val="003B6608"/>
    <w:rsid w:val="003B7B1D"/>
    <w:rsid w:val="003C2711"/>
    <w:rsid w:val="003C5CDC"/>
    <w:rsid w:val="003C72FA"/>
    <w:rsid w:val="003C7334"/>
    <w:rsid w:val="003D1456"/>
    <w:rsid w:val="003E3EA2"/>
    <w:rsid w:val="003E4073"/>
    <w:rsid w:val="003E5B67"/>
    <w:rsid w:val="003F05EC"/>
    <w:rsid w:val="003F12CA"/>
    <w:rsid w:val="003F6877"/>
    <w:rsid w:val="003F6D36"/>
    <w:rsid w:val="004036D4"/>
    <w:rsid w:val="00406F13"/>
    <w:rsid w:val="00412977"/>
    <w:rsid w:val="00412B46"/>
    <w:rsid w:val="004161C5"/>
    <w:rsid w:val="004201F1"/>
    <w:rsid w:val="004216CF"/>
    <w:rsid w:val="00425BC6"/>
    <w:rsid w:val="004274C8"/>
    <w:rsid w:val="004278FD"/>
    <w:rsid w:val="00432C7E"/>
    <w:rsid w:val="0043489F"/>
    <w:rsid w:val="0043492B"/>
    <w:rsid w:val="00434A0B"/>
    <w:rsid w:val="0044002C"/>
    <w:rsid w:val="004454E0"/>
    <w:rsid w:val="00455F38"/>
    <w:rsid w:val="00457DCF"/>
    <w:rsid w:val="00460E64"/>
    <w:rsid w:val="0046388F"/>
    <w:rsid w:val="00464546"/>
    <w:rsid w:val="0046775A"/>
    <w:rsid w:val="00472F94"/>
    <w:rsid w:val="00473BFD"/>
    <w:rsid w:val="00475607"/>
    <w:rsid w:val="00476009"/>
    <w:rsid w:val="00481039"/>
    <w:rsid w:val="00485277"/>
    <w:rsid w:val="00492604"/>
    <w:rsid w:val="00492A9A"/>
    <w:rsid w:val="00495776"/>
    <w:rsid w:val="00495D93"/>
    <w:rsid w:val="0049680D"/>
    <w:rsid w:val="0049747F"/>
    <w:rsid w:val="004A4A77"/>
    <w:rsid w:val="004A7020"/>
    <w:rsid w:val="004B07D3"/>
    <w:rsid w:val="004B0CBC"/>
    <w:rsid w:val="004B44A9"/>
    <w:rsid w:val="004B522F"/>
    <w:rsid w:val="004B588F"/>
    <w:rsid w:val="004C1447"/>
    <w:rsid w:val="004C32C7"/>
    <w:rsid w:val="004C3CA2"/>
    <w:rsid w:val="004C527F"/>
    <w:rsid w:val="004D3BCB"/>
    <w:rsid w:val="004D3D8C"/>
    <w:rsid w:val="004D48C9"/>
    <w:rsid w:val="004D5AA3"/>
    <w:rsid w:val="00500988"/>
    <w:rsid w:val="005073D9"/>
    <w:rsid w:val="00507B16"/>
    <w:rsid w:val="00513DF9"/>
    <w:rsid w:val="00517258"/>
    <w:rsid w:val="0053137A"/>
    <w:rsid w:val="005319AF"/>
    <w:rsid w:val="00535A65"/>
    <w:rsid w:val="00550327"/>
    <w:rsid w:val="0055176A"/>
    <w:rsid w:val="00553EF5"/>
    <w:rsid w:val="005542D7"/>
    <w:rsid w:val="00561AA5"/>
    <w:rsid w:val="00561CBD"/>
    <w:rsid w:val="00563D87"/>
    <w:rsid w:val="00564C7F"/>
    <w:rsid w:val="00565467"/>
    <w:rsid w:val="00571B79"/>
    <w:rsid w:val="005727AC"/>
    <w:rsid w:val="0057758B"/>
    <w:rsid w:val="00591980"/>
    <w:rsid w:val="00593860"/>
    <w:rsid w:val="00593A5D"/>
    <w:rsid w:val="00595564"/>
    <w:rsid w:val="0059684C"/>
    <w:rsid w:val="005A225E"/>
    <w:rsid w:val="005A7832"/>
    <w:rsid w:val="005C0E45"/>
    <w:rsid w:val="005C1127"/>
    <w:rsid w:val="005C4C2C"/>
    <w:rsid w:val="005D15C8"/>
    <w:rsid w:val="005D176B"/>
    <w:rsid w:val="005D3562"/>
    <w:rsid w:val="005D4302"/>
    <w:rsid w:val="005D5347"/>
    <w:rsid w:val="005D54D9"/>
    <w:rsid w:val="005D6282"/>
    <w:rsid w:val="005D7B2B"/>
    <w:rsid w:val="005E019C"/>
    <w:rsid w:val="005E0728"/>
    <w:rsid w:val="005E1CEF"/>
    <w:rsid w:val="005E2441"/>
    <w:rsid w:val="005E5B90"/>
    <w:rsid w:val="005F0C8A"/>
    <w:rsid w:val="005F222E"/>
    <w:rsid w:val="005F7838"/>
    <w:rsid w:val="00600334"/>
    <w:rsid w:val="0060072F"/>
    <w:rsid w:val="006008E9"/>
    <w:rsid w:val="00616045"/>
    <w:rsid w:val="006324DC"/>
    <w:rsid w:val="006343C6"/>
    <w:rsid w:val="0064317C"/>
    <w:rsid w:val="00647BD5"/>
    <w:rsid w:val="0065145A"/>
    <w:rsid w:val="00664E7F"/>
    <w:rsid w:val="00665EE5"/>
    <w:rsid w:val="00670D79"/>
    <w:rsid w:val="0067146C"/>
    <w:rsid w:val="006812B7"/>
    <w:rsid w:val="00683DD0"/>
    <w:rsid w:val="00683E97"/>
    <w:rsid w:val="00684466"/>
    <w:rsid w:val="0068590A"/>
    <w:rsid w:val="00685CDB"/>
    <w:rsid w:val="00691675"/>
    <w:rsid w:val="00691EFE"/>
    <w:rsid w:val="0069259D"/>
    <w:rsid w:val="0069481D"/>
    <w:rsid w:val="006A3E41"/>
    <w:rsid w:val="006A420A"/>
    <w:rsid w:val="006B0FB9"/>
    <w:rsid w:val="006B51B8"/>
    <w:rsid w:val="006C20DB"/>
    <w:rsid w:val="006C74B4"/>
    <w:rsid w:val="006C7D41"/>
    <w:rsid w:val="006D5E48"/>
    <w:rsid w:val="006D76A6"/>
    <w:rsid w:val="006E0A27"/>
    <w:rsid w:val="006E38C7"/>
    <w:rsid w:val="006E7D33"/>
    <w:rsid w:val="006F29F7"/>
    <w:rsid w:val="006F36E5"/>
    <w:rsid w:val="00702D07"/>
    <w:rsid w:val="0070324C"/>
    <w:rsid w:val="007039B8"/>
    <w:rsid w:val="00704551"/>
    <w:rsid w:val="00706B53"/>
    <w:rsid w:val="00706D7C"/>
    <w:rsid w:val="00712EAE"/>
    <w:rsid w:val="0071326F"/>
    <w:rsid w:val="007132C3"/>
    <w:rsid w:val="00716C9B"/>
    <w:rsid w:val="00717E4C"/>
    <w:rsid w:val="00720BBF"/>
    <w:rsid w:val="00721BEA"/>
    <w:rsid w:val="0072415B"/>
    <w:rsid w:val="007267B0"/>
    <w:rsid w:val="007277FE"/>
    <w:rsid w:val="00736120"/>
    <w:rsid w:val="00741339"/>
    <w:rsid w:val="0074234B"/>
    <w:rsid w:val="00745EA4"/>
    <w:rsid w:val="00746043"/>
    <w:rsid w:val="00746785"/>
    <w:rsid w:val="007509F3"/>
    <w:rsid w:val="0075124E"/>
    <w:rsid w:val="0075197C"/>
    <w:rsid w:val="00753E01"/>
    <w:rsid w:val="00754322"/>
    <w:rsid w:val="00760D54"/>
    <w:rsid w:val="00762297"/>
    <w:rsid w:val="00763FA5"/>
    <w:rsid w:val="007644B4"/>
    <w:rsid w:val="00764A3A"/>
    <w:rsid w:val="00765133"/>
    <w:rsid w:val="0076735B"/>
    <w:rsid w:val="00780E57"/>
    <w:rsid w:val="007826EA"/>
    <w:rsid w:val="00782A89"/>
    <w:rsid w:val="00784095"/>
    <w:rsid w:val="00785944"/>
    <w:rsid w:val="007A05D6"/>
    <w:rsid w:val="007A19E4"/>
    <w:rsid w:val="007A49A4"/>
    <w:rsid w:val="007B36C8"/>
    <w:rsid w:val="007C1808"/>
    <w:rsid w:val="007C18B0"/>
    <w:rsid w:val="007C3C6C"/>
    <w:rsid w:val="007C6770"/>
    <w:rsid w:val="007D0418"/>
    <w:rsid w:val="007D041A"/>
    <w:rsid w:val="007D44B7"/>
    <w:rsid w:val="007D4866"/>
    <w:rsid w:val="007D79CA"/>
    <w:rsid w:val="007E1E14"/>
    <w:rsid w:val="007E31A8"/>
    <w:rsid w:val="007E49EF"/>
    <w:rsid w:val="007F0BD4"/>
    <w:rsid w:val="007F1237"/>
    <w:rsid w:val="00807B76"/>
    <w:rsid w:val="00810764"/>
    <w:rsid w:val="00810EAD"/>
    <w:rsid w:val="0081172B"/>
    <w:rsid w:val="00812222"/>
    <w:rsid w:val="00812B19"/>
    <w:rsid w:val="00814AD2"/>
    <w:rsid w:val="008167E9"/>
    <w:rsid w:val="008206FA"/>
    <w:rsid w:val="00821BE4"/>
    <w:rsid w:val="00832769"/>
    <w:rsid w:val="00832B37"/>
    <w:rsid w:val="008337AC"/>
    <w:rsid w:val="00836A18"/>
    <w:rsid w:val="00842882"/>
    <w:rsid w:val="00842F0D"/>
    <w:rsid w:val="0085227D"/>
    <w:rsid w:val="00861716"/>
    <w:rsid w:val="00862D59"/>
    <w:rsid w:val="00862DAB"/>
    <w:rsid w:val="008729E0"/>
    <w:rsid w:val="00872A87"/>
    <w:rsid w:val="00873AFE"/>
    <w:rsid w:val="0087421C"/>
    <w:rsid w:val="008819E2"/>
    <w:rsid w:val="00882D98"/>
    <w:rsid w:val="0088576C"/>
    <w:rsid w:val="00890C91"/>
    <w:rsid w:val="00890E22"/>
    <w:rsid w:val="00891BD7"/>
    <w:rsid w:val="00895E51"/>
    <w:rsid w:val="00896B55"/>
    <w:rsid w:val="0089792D"/>
    <w:rsid w:val="008A1E19"/>
    <w:rsid w:val="008A5ED4"/>
    <w:rsid w:val="008B0E89"/>
    <w:rsid w:val="008B124A"/>
    <w:rsid w:val="008B5BA5"/>
    <w:rsid w:val="008B753E"/>
    <w:rsid w:val="008B79D1"/>
    <w:rsid w:val="008C300E"/>
    <w:rsid w:val="008C46BB"/>
    <w:rsid w:val="008C59F3"/>
    <w:rsid w:val="008C5CE6"/>
    <w:rsid w:val="008C7B84"/>
    <w:rsid w:val="008C7F9E"/>
    <w:rsid w:val="008D50AC"/>
    <w:rsid w:val="008D666D"/>
    <w:rsid w:val="008D770B"/>
    <w:rsid w:val="008E0DB3"/>
    <w:rsid w:val="008E3A7A"/>
    <w:rsid w:val="008E45B4"/>
    <w:rsid w:val="008E7C1C"/>
    <w:rsid w:val="008E7E64"/>
    <w:rsid w:val="008F1000"/>
    <w:rsid w:val="008F27A0"/>
    <w:rsid w:val="008F284F"/>
    <w:rsid w:val="008F5BF0"/>
    <w:rsid w:val="008F6197"/>
    <w:rsid w:val="008F7719"/>
    <w:rsid w:val="00904BFC"/>
    <w:rsid w:val="00913BAC"/>
    <w:rsid w:val="00913C45"/>
    <w:rsid w:val="00914587"/>
    <w:rsid w:val="009156F1"/>
    <w:rsid w:val="00916C78"/>
    <w:rsid w:val="009220BF"/>
    <w:rsid w:val="00924A22"/>
    <w:rsid w:val="00926A88"/>
    <w:rsid w:val="00934BCC"/>
    <w:rsid w:val="00935A88"/>
    <w:rsid w:val="00937864"/>
    <w:rsid w:val="00941559"/>
    <w:rsid w:val="00941652"/>
    <w:rsid w:val="00943042"/>
    <w:rsid w:val="0094342D"/>
    <w:rsid w:val="00946E03"/>
    <w:rsid w:val="00946EB9"/>
    <w:rsid w:val="009503F7"/>
    <w:rsid w:val="0095217E"/>
    <w:rsid w:val="009540A4"/>
    <w:rsid w:val="009601F6"/>
    <w:rsid w:val="00961FEA"/>
    <w:rsid w:val="00964B0C"/>
    <w:rsid w:val="00966DAA"/>
    <w:rsid w:val="0096796D"/>
    <w:rsid w:val="00974C1E"/>
    <w:rsid w:val="0097590A"/>
    <w:rsid w:val="00975E88"/>
    <w:rsid w:val="0097772E"/>
    <w:rsid w:val="0097796E"/>
    <w:rsid w:val="00985D11"/>
    <w:rsid w:val="00986936"/>
    <w:rsid w:val="009921C0"/>
    <w:rsid w:val="009931F5"/>
    <w:rsid w:val="00994206"/>
    <w:rsid w:val="00994207"/>
    <w:rsid w:val="00994F6C"/>
    <w:rsid w:val="0099508B"/>
    <w:rsid w:val="00995264"/>
    <w:rsid w:val="00995D62"/>
    <w:rsid w:val="00996E6C"/>
    <w:rsid w:val="009A4288"/>
    <w:rsid w:val="009A5163"/>
    <w:rsid w:val="009A60A4"/>
    <w:rsid w:val="009B2573"/>
    <w:rsid w:val="009B449B"/>
    <w:rsid w:val="009B6C28"/>
    <w:rsid w:val="009C11D5"/>
    <w:rsid w:val="009C3405"/>
    <w:rsid w:val="009C3C32"/>
    <w:rsid w:val="009C451A"/>
    <w:rsid w:val="009C671F"/>
    <w:rsid w:val="009D5207"/>
    <w:rsid w:val="009D7F61"/>
    <w:rsid w:val="009E10DC"/>
    <w:rsid w:val="009E3556"/>
    <w:rsid w:val="009E3767"/>
    <w:rsid w:val="009E5488"/>
    <w:rsid w:val="009E5A37"/>
    <w:rsid w:val="009E6DD6"/>
    <w:rsid w:val="009E72C9"/>
    <w:rsid w:val="009F40F2"/>
    <w:rsid w:val="00A059A7"/>
    <w:rsid w:val="00A05A1F"/>
    <w:rsid w:val="00A20344"/>
    <w:rsid w:val="00A20799"/>
    <w:rsid w:val="00A207CB"/>
    <w:rsid w:val="00A21B8B"/>
    <w:rsid w:val="00A23618"/>
    <w:rsid w:val="00A247B8"/>
    <w:rsid w:val="00A311BF"/>
    <w:rsid w:val="00A346CE"/>
    <w:rsid w:val="00A366B8"/>
    <w:rsid w:val="00A378EC"/>
    <w:rsid w:val="00A41955"/>
    <w:rsid w:val="00A435DF"/>
    <w:rsid w:val="00A47BF3"/>
    <w:rsid w:val="00A50810"/>
    <w:rsid w:val="00A5206B"/>
    <w:rsid w:val="00A520C9"/>
    <w:rsid w:val="00A63A93"/>
    <w:rsid w:val="00A74050"/>
    <w:rsid w:val="00A74708"/>
    <w:rsid w:val="00A7549E"/>
    <w:rsid w:val="00A81672"/>
    <w:rsid w:val="00A82E89"/>
    <w:rsid w:val="00A834D6"/>
    <w:rsid w:val="00A83648"/>
    <w:rsid w:val="00A84335"/>
    <w:rsid w:val="00A900BB"/>
    <w:rsid w:val="00A92335"/>
    <w:rsid w:val="00A95B14"/>
    <w:rsid w:val="00A95F26"/>
    <w:rsid w:val="00AB0B00"/>
    <w:rsid w:val="00AB0BFA"/>
    <w:rsid w:val="00AB4EF0"/>
    <w:rsid w:val="00AB55EF"/>
    <w:rsid w:val="00AC1359"/>
    <w:rsid w:val="00AC6B3A"/>
    <w:rsid w:val="00AD17F9"/>
    <w:rsid w:val="00AD2913"/>
    <w:rsid w:val="00AD5E82"/>
    <w:rsid w:val="00AD7455"/>
    <w:rsid w:val="00AE4A02"/>
    <w:rsid w:val="00AE700F"/>
    <w:rsid w:val="00AF078D"/>
    <w:rsid w:val="00AF1503"/>
    <w:rsid w:val="00AF1A42"/>
    <w:rsid w:val="00AF30E9"/>
    <w:rsid w:val="00AF7313"/>
    <w:rsid w:val="00B00092"/>
    <w:rsid w:val="00B03217"/>
    <w:rsid w:val="00B07B7B"/>
    <w:rsid w:val="00B17BD6"/>
    <w:rsid w:val="00B23C6B"/>
    <w:rsid w:val="00B32366"/>
    <w:rsid w:val="00B32CD3"/>
    <w:rsid w:val="00B33D8F"/>
    <w:rsid w:val="00B3567D"/>
    <w:rsid w:val="00B41E95"/>
    <w:rsid w:val="00B42132"/>
    <w:rsid w:val="00B4375B"/>
    <w:rsid w:val="00B43F29"/>
    <w:rsid w:val="00B460E3"/>
    <w:rsid w:val="00B47EDE"/>
    <w:rsid w:val="00B519DE"/>
    <w:rsid w:val="00B525A8"/>
    <w:rsid w:val="00B542AB"/>
    <w:rsid w:val="00B60CAC"/>
    <w:rsid w:val="00B64815"/>
    <w:rsid w:val="00B657A5"/>
    <w:rsid w:val="00B72400"/>
    <w:rsid w:val="00B72414"/>
    <w:rsid w:val="00B75ABC"/>
    <w:rsid w:val="00B814F1"/>
    <w:rsid w:val="00B8393E"/>
    <w:rsid w:val="00B8482F"/>
    <w:rsid w:val="00B84D5A"/>
    <w:rsid w:val="00B8772F"/>
    <w:rsid w:val="00B91DF4"/>
    <w:rsid w:val="00B9673F"/>
    <w:rsid w:val="00BA54A4"/>
    <w:rsid w:val="00BB068E"/>
    <w:rsid w:val="00BB091C"/>
    <w:rsid w:val="00BB1257"/>
    <w:rsid w:val="00BB3FBB"/>
    <w:rsid w:val="00BB451C"/>
    <w:rsid w:val="00BB474B"/>
    <w:rsid w:val="00BB5535"/>
    <w:rsid w:val="00BB63C1"/>
    <w:rsid w:val="00BC3AC1"/>
    <w:rsid w:val="00BC629D"/>
    <w:rsid w:val="00BC755A"/>
    <w:rsid w:val="00BD1EE0"/>
    <w:rsid w:val="00BD1F2D"/>
    <w:rsid w:val="00BD3187"/>
    <w:rsid w:val="00BD36C9"/>
    <w:rsid w:val="00BD3CB6"/>
    <w:rsid w:val="00BD4738"/>
    <w:rsid w:val="00BD49CB"/>
    <w:rsid w:val="00BE3DA9"/>
    <w:rsid w:val="00BF2443"/>
    <w:rsid w:val="00BF4289"/>
    <w:rsid w:val="00BF45C3"/>
    <w:rsid w:val="00BF752C"/>
    <w:rsid w:val="00BF77A5"/>
    <w:rsid w:val="00C0302D"/>
    <w:rsid w:val="00C05A6B"/>
    <w:rsid w:val="00C1695F"/>
    <w:rsid w:val="00C17CF6"/>
    <w:rsid w:val="00C22093"/>
    <w:rsid w:val="00C24683"/>
    <w:rsid w:val="00C266C9"/>
    <w:rsid w:val="00C27D72"/>
    <w:rsid w:val="00C34FD6"/>
    <w:rsid w:val="00C426BF"/>
    <w:rsid w:val="00C4646E"/>
    <w:rsid w:val="00C47CB8"/>
    <w:rsid w:val="00C50DF9"/>
    <w:rsid w:val="00C525BA"/>
    <w:rsid w:val="00C55246"/>
    <w:rsid w:val="00C57568"/>
    <w:rsid w:val="00C679FD"/>
    <w:rsid w:val="00C7150C"/>
    <w:rsid w:val="00C7163B"/>
    <w:rsid w:val="00C74EF8"/>
    <w:rsid w:val="00C76D8E"/>
    <w:rsid w:val="00C854A9"/>
    <w:rsid w:val="00C97230"/>
    <w:rsid w:val="00CA00A5"/>
    <w:rsid w:val="00CA2748"/>
    <w:rsid w:val="00CA4B49"/>
    <w:rsid w:val="00CA77E9"/>
    <w:rsid w:val="00CA7E5E"/>
    <w:rsid w:val="00CA7E66"/>
    <w:rsid w:val="00CB02EA"/>
    <w:rsid w:val="00CB054B"/>
    <w:rsid w:val="00CB666A"/>
    <w:rsid w:val="00CB7501"/>
    <w:rsid w:val="00CC1D5C"/>
    <w:rsid w:val="00CC55CA"/>
    <w:rsid w:val="00CD1491"/>
    <w:rsid w:val="00CD1AA3"/>
    <w:rsid w:val="00CD66A7"/>
    <w:rsid w:val="00CD7D76"/>
    <w:rsid w:val="00CE1506"/>
    <w:rsid w:val="00CE6F05"/>
    <w:rsid w:val="00CF230B"/>
    <w:rsid w:val="00CF4892"/>
    <w:rsid w:val="00CF4CD5"/>
    <w:rsid w:val="00CF566C"/>
    <w:rsid w:val="00CF60AE"/>
    <w:rsid w:val="00D119B8"/>
    <w:rsid w:val="00D13DAE"/>
    <w:rsid w:val="00D148D6"/>
    <w:rsid w:val="00D15535"/>
    <w:rsid w:val="00D17298"/>
    <w:rsid w:val="00D173AB"/>
    <w:rsid w:val="00D20742"/>
    <w:rsid w:val="00D22AEE"/>
    <w:rsid w:val="00D32CF9"/>
    <w:rsid w:val="00D45F0D"/>
    <w:rsid w:val="00D510AE"/>
    <w:rsid w:val="00D51686"/>
    <w:rsid w:val="00D524D6"/>
    <w:rsid w:val="00D559B0"/>
    <w:rsid w:val="00D5683D"/>
    <w:rsid w:val="00D61A1B"/>
    <w:rsid w:val="00D70FA8"/>
    <w:rsid w:val="00D74210"/>
    <w:rsid w:val="00D74D1A"/>
    <w:rsid w:val="00D75600"/>
    <w:rsid w:val="00D75FCC"/>
    <w:rsid w:val="00D8004F"/>
    <w:rsid w:val="00D803FA"/>
    <w:rsid w:val="00D8064A"/>
    <w:rsid w:val="00D843BD"/>
    <w:rsid w:val="00D86EF8"/>
    <w:rsid w:val="00D87060"/>
    <w:rsid w:val="00D90B74"/>
    <w:rsid w:val="00D97AE5"/>
    <w:rsid w:val="00D97AE7"/>
    <w:rsid w:val="00DA07AE"/>
    <w:rsid w:val="00DA1F95"/>
    <w:rsid w:val="00DA4C5F"/>
    <w:rsid w:val="00DA608E"/>
    <w:rsid w:val="00DA6643"/>
    <w:rsid w:val="00DB2199"/>
    <w:rsid w:val="00DB436E"/>
    <w:rsid w:val="00DB615D"/>
    <w:rsid w:val="00DB6A25"/>
    <w:rsid w:val="00DB7987"/>
    <w:rsid w:val="00DD578B"/>
    <w:rsid w:val="00DD58C6"/>
    <w:rsid w:val="00DD745D"/>
    <w:rsid w:val="00DE0204"/>
    <w:rsid w:val="00DE2B5A"/>
    <w:rsid w:val="00DE5B80"/>
    <w:rsid w:val="00DF12D3"/>
    <w:rsid w:val="00DF201E"/>
    <w:rsid w:val="00DF5A81"/>
    <w:rsid w:val="00DF5C5F"/>
    <w:rsid w:val="00DF63A2"/>
    <w:rsid w:val="00E032BE"/>
    <w:rsid w:val="00E06C1B"/>
    <w:rsid w:val="00E107CF"/>
    <w:rsid w:val="00E15EA4"/>
    <w:rsid w:val="00E2305D"/>
    <w:rsid w:val="00E250FD"/>
    <w:rsid w:val="00E26FCB"/>
    <w:rsid w:val="00E275A7"/>
    <w:rsid w:val="00E30479"/>
    <w:rsid w:val="00E31824"/>
    <w:rsid w:val="00E367AA"/>
    <w:rsid w:val="00E37AEF"/>
    <w:rsid w:val="00E405A7"/>
    <w:rsid w:val="00E43898"/>
    <w:rsid w:val="00E448B1"/>
    <w:rsid w:val="00E4644E"/>
    <w:rsid w:val="00E46BCB"/>
    <w:rsid w:val="00E51D28"/>
    <w:rsid w:val="00E53BA7"/>
    <w:rsid w:val="00E55AF7"/>
    <w:rsid w:val="00E60FF0"/>
    <w:rsid w:val="00E62101"/>
    <w:rsid w:val="00E65D4B"/>
    <w:rsid w:val="00E67797"/>
    <w:rsid w:val="00E71742"/>
    <w:rsid w:val="00E71BCB"/>
    <w:rsid w:val="00E74DD5"/>
    <w:rsid w:val="00E77419"/>
    <w:rsid w:val="00E812BD"/>
    <w:rsid w:val="00E9441E"/>
    <w:rsid w:val="00E94428"/>
    <w:rsid w:val="00E96729"/>
    <w:rsid w:val="00EA1655"/>
    <w:rsid w:val="00EA2528"/>
    <w:rsid w:val="00EB077D"/>
    <w:rsid w:val="00EB0AB0"/>
    <w:rsid w:val="00EB347B"/>
    <w:rsid w:val="00EB479B"/>
    <w:rsid w:val="00EC1968"/>
    <w:rsid w:val="00EC3A3E"/>
    <w:rsid w:val="00EC6F5D"/>
    <w:rsid w:val="00ED17D8"/>
    <w:rsid w:val="00ED28C4"/>
    <w:rsid w:val="00ED5FF1"/>
    <w:rsid w:val="00EE2A51"/>
    <w:rsid w:val="00EE2FDC"/>
    <w:rsid w:val="00EE4438"/>
    <w:rsid w:val="00EE6C6F"/>
    <w:rsid w:val="00EE77B7"/>
    <w:rsid w:val="00EF1D22"/>
    <w:rsid w:val="00EF3D1E"/>
    <w:rsid w:val="00EF7B3F"/>
    <w:rsid w:val="00F02101"/>
    <w:rsid w:val="00F02D50"/>
    <w:rsid w:val="00F03F75"/>
    <w:rsid w:val="00F0419B"/>
    <w:rsid w:val="00F10AFE"/>
    <w:rsid w:val="00F1324A"/>
    <w:rsid w:val="00F1499E"/>
    <w:rsid w:val="00F20EC2"/>
    <w:rsid w:val="00F21CA7"/>
    <w:rsid w:val="00F30031"/>
    <w:rsid w:val="00F35A4F"/>
    <w:rsid w:val="00F4072C"/>
    <w:rsid w:val="00F41175"/>
    <w:rsid w:val="00F412C3"/>
    <w:rsid w:val="00F41DCA"/>
    <w:rsid w:val="00F42AC3"/>
    <w:rsid w:val="00F43B87"/>
    <w:rsid w:val="00F44CEA"/>
    <w:rsid w:val="00F515A2"/>
    <w:rsid w:val="00F53BD4"/>
    <w:rsid w:val="00F54F58"/>
    <w:rsid w:val="00F5785C"/>
    <w:rsid w:val="00F6301D"/>
    <w:rsid w:val="00F76B8B"/>
    <w:rsid w:val="00F80283"/>
    <w:rsid w:val="00F80B28"/>
    <w:rsid w:val="00F80E77"/>
    <w:rsid w:val="00F81BFC"/>
    <w:rsid w:val="00F81C44"/>
    <w:rsid w:val="00F8387E"/>
    <w:rsid w:val="00F86975"/>
    <w:rsid w:val="00F920F6"/>
    <w:rsid w:val="00F93829"/>
    <w:rsid w:val="00F94957"/>
    <w:rsid w:val="00F952FA"/>
    <w:rsid w:val="00F97EF3"/>
    <w:rsid w:val="00FA30B6"/>
    <w:rsid w:val="00FA344B"/>
    <w:rsid w:val="00FA7B42"/>
    <w:rsid w:val="00FB238B"/>
    <w:rsid w:val="00FB6D9C"/>
    <w:rsid w:val="00FB7534"/>
    <w:rsid w:val="00FC343F"/>
    <w:rsid w:val="00FC4475"/>
    <w:rsid w:val="00FC4BC3"/>
    <w:rsid w:val="00FC5F13"/>
    <w:rsid w:val="00FD3316"/>
    <w:rsid w:val="00FD5100"/>
    <w:rsid w:val="00FD6643"/>
    <w:rsid w:val="00FD72B5"/>
    <w:rsid w:val="00FE0657"/>
    <w:rsid w:val="00FE0EC5"/>
    <w:rsid w:val="00FE407C"/>
    <w:rsid w:val="00FE4223"/>
    <w:rsid w:val="00FE7297"/>
    <w:rsid w:val="00FF5A9B"/>
    <w:rsid w:val="00FF772A"/>
    <w:rsid w:val="6D9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file:////miniportal.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iod@adm.uw.edu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miniportal.uzp.gov.pl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amowieniawb@uw.edu.pl" TargetMode="External"/><Relationship Id="rId35" Type="http://schemas.openxmlformats.org/officeDocument/2006/relationships/header" Target="header1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5072A7-0303-4860-A171-E847417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8103</Words>
  <Characters>48620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P.</cp:lastModifiedBy>
  <cp:revision>26</cp:revision>
  <cp:lastPrinted>2022-11-16T08:32:00Z</cp:lastPrinted>
  <dcterms:created xsi:type="dcterms:W3CDTF">2022-11-09T13:28:00Z</dcterms:created>
  <dcterms:modified xsi:type="dcterms:W3CDTF">2022-12-13T07:54:00Z</dcterms:modified>
</cp:coreProperties>
</file>