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7A2112F2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1711E4E0" w:rsidR="009F40F2" w:rsidRPr="00A83648" w:rsidRDefault="00611D13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0BE7C7BD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</w:t>
      </w:r>
      <w:r w:rsidR="001841DA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r. poz. 1</w:t>
      </w:r>
      <w:r w:rsidR="001841DA">
        <w:rPr>
          <w:rFonts w:asciiTheme="majorHAnsi" w:hAnsiTheme="majorHAnsi" w:cstheme="majorHAnsi"/>
          <w:sz w:val="22"/>
          <w:szCs w:val="22"/>
        </w:rPr>
        <w:t>710</w:t>
      </w:r>
      <w:r w:rsidRPr="00A83648">
        <w:rPr>
          <w:rFonts w:asciiTheme="majorHAnsi" w:hAnsiTheme="majorHAnsi" w:cstheme="majorHAnsi"/>
          <w:sz w:val="22"/>
          <w:szCs w:val="22"/>
        </w:rPr>
        <w:t>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EF0A38" w14:textId="3B69190D" w:rsidR="009F40F2" w:rsidRPr="0065239F" w:rsidRDefault="0065239F" w:rsidP="00A900BB">
      <w:pPr>
        <w:jc w:val="center"/>
        <w:rPr>
          <w:rStyle w:val="Uwydatnienie"/>
          <w:rFonts w:asciiTheme="majorHAnsi" w:hAnsiTheme="majorHAnsi" w:cstheme="majorHAnsi"/>
          <w:sz w:val="22"/>
          <w:szCs w:val="22"/>
        </w:rPr>
      </w:pPr>
      <w:r w:rsidRPr="0065239F">
        <w:rPr>
          <w:rFonts w:asciiTheme="majorHAnsi" w:hAnsiTheme="majorHAnsi" w:cstheme="majorHAnsi"/>
          <w:b/>
          <w:bCs/>
          <w:sz w:val="22"/>
          <w:szCs w:val="22"/>
          <w:u w:val="dotted"/>
        </w:rPr>
        <w:t>DOSTAWA APARATURY LABORATORYJNEJ DLA WYDZIAŁU BIOLOGII UNIWERSYTETU WARSZAWSKIEGO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09F0611" w14:textId="43966E74" w:rsidR="00686722" w:rsidRPr="00611D13" w:rsidRDefault="002E41DF" w:rsidP="00686722">
      <w:pPr>
        <w:pStyle w:val="Nagwek"/>
        <w:rPr>
          <w:b/>
          <w:bCs/>
          <w:i/>
          <w:iCs/>
          <w:sz w:val="28"/>
        </w:rPr>
      </w:pPr>
      <w:r w:rsidRPr="00611D13">
        <w:rPr>
          <w:rStyle w:val="Uwydatnienie"/>
          <w:rFonts w:asciiTheme="majorHAnsi" w:hAnsiTheme="majorHAnsi" w:cstheme="majorHAnsi"/>
          <w:b/>
          <w:bCs/>
          <w:highlight w:val="yellow"/>
        </w:rPr>
        <w:t>Znak:</w:t>
      </w:r>
      <w:r w:rsidRPr="00611D13">
        <w:rPr>
          <w:rStyle w:val="Uwydatnienie"/>
          <w:rFonts w:asciiTheme="majorHAnsi" w:hAnsiTheme="majorHAnsi" w:cstheme="majorHAnsi"/>
          <w:b/>
          <w:bCs/>
          <w:i w:val="0"/>
          <w:iCs w:val="0"/>
          <w:highlight w:val="yellow"/>
        </w:rPr>
        <w:t xml:space="preserve"> </w:t>
      </w:r>
      <w:r w:rsidR="00686722" w:rsidRPr="00611D13">
        <w:rPr>
          <w:rFonts w:ascii="Calibri Light" w:hAnsi="Calibri Light" w:cs="Calibri Light"/>
          <w:b/>
          <w:bCs/>
          <w:i/>
          <w:iCs/>
          <w:sz w:val="22"/>
          <w:szCs w:val="22"/>
          <w:highlight w:val="yellow"/>
        </w:rPr>
        <w:t>WB-372/</w:t>
      </w:r>
      <w:r w:rsidR="00D31A5C" w:rsidRPr="00611D13">
        <w:rPr>
          <w:rFonts w:ascii="Calibri Light" w:hAnsi="Calibri Light" w:cs="Calibri Light"/>
          <w:b/>
          <w:bCs/>
          <w:i/>
          <w:iCs/>
          <w:sz w:val="22"/>
          <w:szCs w:val="22"/>
          <w:highlight w:val="yellow"/>
        </w:rPr>
        <w:t>AP-001/2022</w:t>
      </w:r>
    </w:p>
    <w:p w14:paraId="3DA3E5C0" w14:textId="1FB8A121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71DC085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82E52CF" w:rsidR="00CF566C" w:rsidRPr="00324D8D" w:rsidRDefault="00ED20F4" w:rsidP="009F40F2">
      <w:pPr>
        <w:rPr>
          <w:rFonts w:ascii="Calibri Light" w:hAnsi="Calibri Light" w:cs="Calibri Light"/>
          <w:b/>
          <w:bCs/>
          <w:sz w:val="22"/>
          <w:szCs w:val="22"/>
        </w:rPr>
      </w:pPr>
      <w:r w:rsidRPr="00324D8D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Część 1</w:t>
      </w:r>
      <w:r w:rsidR="00324D8D" w:rsidRPr="00324D8D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 xml:space="preserve">, 2 i 3: Projekt współfinansowany ze środków  Narodowego Centrum Nauki oraz Inicjatywa Doskonałości – Uczelnia Badawcza </w:t>
      </w:r>
      <w:r w:rsidR="00324D8D" w:rsidRPr="00324D8D">
        <w:rPr>
          <w:rStyle w:val="Uwydatnienie"/>
          <w:rFonts w:ascii="Calibri Light" w:hAnsi="Calibri Light" w:cs="Calibri Light"/>
          <w:b/>
          <w:bCs/>
          <w:sz w:val="20"/>
          <w:szCs w:val="20"/>
        </w:rPr>
        <w:t>„</w:t>
      </w:r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 xml:space="preserve">The establishment of the </w:t>
      </w:r>
      <w:proofErr w:type="spellStart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>Biosafety</w:t>
      </w:r>
      <w:proofErr w:type="spellEnd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 xml:space="preserve"> Level 2 (BSL-2) </w:t>
      </w:r>
      <w:proofErr w:type="spellStart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>laboratory</w:t>
      </w:r>
      <w:proofErr w:type="spellEnd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>”</w:t>
      </w:r>
    </w:p>
    <w:p w14:paraId="242BCB35" w14:textId="77777777" w:rsidR="00324D8D" w:rsidRPr="00324D8D" w:rsidRDefault="00324D8D" w:rsidP="009F40F2">
      <w:pPr>
        <w:rPr>
          <w:rStyle w:val="Uwydatnienie"/>
          <w:rFonts w:ascii="Calibri Light" w:hAnsi="Calibri Light" w:cs="Calibri Light"/>
          <w:b/>
          <w:bCs/>
          <w:sz w:val="20"/>
          <w:szCs w:val="20"/>
        </w:rPr>
      </w:pPr>
    </w:p>
    <w:p w14:paraId="4D598E13" w14:textId="3F1F7B68" w:rsidR="00ED20F4" w:rsidRPr="00324D8D" w:rsidRDefault="00324D8D" w:rsidP="009F40F2">
      <w:pPr>
        <w:rPr>
          <w:rFonts w:ascii="Calibri Light" w:hAnsi="Calibri Light" w:cs="Calibri Light"/>
          <w:b/>
          <w:bCs/>
          <w:sz w:val="22"/>
          <w:szCs w:val="22"/>
        </w:rPr>
      </w:pPr>
      <w:r w:rsidRPr="00324D8D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Część 4 i 5: Projekt finansowany ze środków Narodowego Centrum Nauk „</w:t>
      </w:r>
      <w:r w:rsidRPr="00324D8D">
        <w:rPr>
          <w:rFonts w:ascii="Calibri Light" w:hAnsi="Calibri Light" w:cs="Calibri Light"/>
          <w:b/>
          <w:bCs/>
          <w:sz w:val="22"/>
          <w:szCs w:val="22"/>
        </w:rPr>
        <w:t xml:space="preserve">Analiza mitochondrialnych systemów zaangażowanych w utrzymanie homeostazy </w:t>
      </w:r>
      <w:proofErr w:type="spellStart"/>
      <w:r w:rsidRPr="00324D8D">
        <w:rPr>
          <w:rFonts w:ascii="Calibri Light" w:hAnsi="Calibri Light" w:cs="Calibri Light"/>
          <w:b/>
          <w:bCs/>
          <w:sz w:val="22"/>
          <w:szCs w:val="22"/>
        </w:rPr>
        <w:t>oksydoredukcyjnej</w:t>
      </w:r>
      <w:proofErr w:type="spellEnd"/>
      <w:r w:rsidRPr="00324D8D">
        <w:rPr>
          <w:rFonts w:ascii="Calibri Light" w:hAnsi="Calibri Light" w:cs="Calibri Light"/>
          <w:b/>
          <w:bCs/>
          <w:sz w:val="22"/>
          <w:szCs w:val="22"/>
        </w:rPr>
        <w:t xml:space="preserve"> komórek roślinnych w odpowiedzi na czynniki stresowe – badania in vivo” SONATA 17</w:t>
      </w:r>
    </w:p>
    <w:p w14:paraId="35CE25BD" w14:textId="77777777" w:rsidR="00324D8D" w:rsidRPr="00324D8D" w:rsidRDefault="00324D8D" w:rsidP="009F40F2">
      <w:pPr>
        <w:rPr>
          <w:rStyle w:val="Uwydatnienie"/>
          <w:rFonts w:ascii="Calibri Light" w:hAnsi="Calibri Light" w:cs="Calibri Light"/>
          <w:b/>
          <w:bCs/>
          <w:sz w:val="20"/>
          <w:szCs w:val="20"/>
        </w:rPr>
      </w:pPr>
    </w:p>
    <w:p w14:paraId="11AB78F6" w14:textId="7587E5BB" w:rsidR="00ED20F4" w:rsidRPr="00324D8D" w:rsidRDefault="00ED20F4" w:rsidP="009F40F2">
      <w:pPr>
        <w:rPr>
          <w:rStyle w:val="Uwydatnienie"/>
          <w:rFonts w:asciiTheme="majorHAnsi" w:hAnsiTheme="majorHAnsi" w:cstheme="majorHAnsi"/>
          <w:b/>
          <w:bCs/>
          <w:sz w:val="22"/>
          <w:szCs w:val="22"/>
        </w:rPr>
      </w:pPr>
      <w:r w:rsidRPr="00324D8D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Część 7</w:t>
      </w:r>
      <w:r w:rsidR="00324D8D" w:rsidRPr="00324D8D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, 8 i 9: Projekt finansowany ze środków Narodowego Centrum Nauk „</w:t>
      </w:r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 xml:space="preserve">W poszukiwaniu rezerwuaru prątków </w:t>
      </w:r>
      <w:proofErr w:type="spellStart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>niegruźliczych</w:t>
      </w:r>
      <w:proofErr w:type="spellEnd"/>
      <w:r w:rsidR="00324D8D" w:rsidRPr="00324D8D">
        <w:rPr>
          <w:rFonts w:ascii="Calibri Light" w:hAnsi="Calibri Light" w:cs="Calibri Light"/>
          <w:b/>
          <w:bCs/>
          <w:sz w:val="22"/>
          <w:szCs w:val="22"/>
        </w:rPr>
        <w:t xml:space="preserve"> - badania środowiskowe i molekularne” SONATA 17</w:t>
      </w: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790830B" w14:textId="7E7A0452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E0026DF" w14:textId="7CA71269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77777777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09D82718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5D907A03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4E96871E" w:rsidR="00895E51" w:rsidRPr="00A83648" w:rsidRDefault="009F40F2" w:rsidP="00895E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Strona internetowa prowadzonego postępowania dostępna jest pod adresem</w:t>
      </w:r>
      <w:r w:rsidR="00862DA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F7762B" w:rsidRPr="00F7762B">
        <w:rPr>
          <w:rFonts w:asciiTheme="majorHAnsi" w:hAnsiTheme="majorHAnsi" w:cstheme="majorHAnsi"/>
          <w:sz w:val="22"/>
          <w:szCs w:val="22"/>
          <w:highlight w:val="yellow"/>
        </w:rPr>
        <w:t>https://dzp.uw.edu.pl</w:t>
      </w:r>
      <w:r w:rsidR="00F7762B" w:rsidRPr="00D31A5C">
        <w:rPr>
          <w:rFonts w:asciiTheme="majorHAnsi" w:hAnsiTheme="majorHAnsi" w:cstheme="majorHAnsi"/>
          <w:sz w:val="22"/>
          <w:szCs w:val="22"/>
          <w:highlight w:val="yellow"/>
        </w:rPr>
        <w:t>/</w:t>
      </w:r>
      <w:r w:rsidR="00D31A5C" w:rsidRPr="00D31A5C">
        <w:rPr>
          <w:rFonts w:asciiTheme="majorHAnsi" w:hAnsiTheme="majorHAnsi" w:cstheme="majorHAnsi"/>
          <w:sz w:val="22"/>
          <w:szCs w:val="22"/>
          <w:highlight w:val="yellow"/>
        </w:rPr>
        <w:t>wb-372-ap-001-2022</w:t>
      </w:r>
    </w:p>
    <w:p w14:paraId="147FB23C" w14:textId="3A6B06E2" w:rsidR="009F40F2" w:rsidRPr="00A83648" w:rsidRDefault="009F40F2" w:rsidP="009F40F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 adresem wskazanym w ust. 1 udostępniane będą wszelkie zmiany SWZ oraz inne dokumenty zamówienia bezpośrednio związane z prowadzonym postępowaniem o udzielenie zamówienia.</w:t>
      </w:r>
      <w:r w:rsidR="00D32CF9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miniPortalu</w:t>
      </w:r>
      <w:proofErr w:type="spellEnd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209D94" w14:textId="10A36D0E" w:rsidR="00FE407C" w:rsidRPr="00F7762B" w:rsidRDefault="00DC687A" w:rsidP="00182BD3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5AF06FCD" w14:textId="6E8569BC" w:rsidR="009F40F2" w:rsidRPr="00A83648" w:rsidRDefault="009F40F2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</w:t>
      </w:r>
      <w:r w:rsidR="006D2B85">
        <w:rPr>
          <w:rFonts w:asciiTheme="majorHAnsi" w:hAnsiTheme="majorHAnsi" w:cstheme="majorHAnsi"/>
          <w:sz w:val="22"/>
          <w:szCs w:val="22"/>
        </w:rPr>
        <w:t>2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</w:t>
      </w:r>
      <w:r w:rsidR="006D2B85">
        <w:rPr>
          <w:rFonts w:asciiTheme="majorHAnsi" w:hAnsiTheme="majorHAnsi" w:cstheme="majorHAnsi"/>
          <w:sz w:val="22"/>
          <w:szCs w:val="22"/>
        </w:rPr>
        <w:t>710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404C3CE1" w:rsidR="00FE407C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 lub więcej części zamówienia (dopuszczenie złożenia ofert częściowych).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86CA33E" w14:textId="2F54574D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64535FBF" w:rsidR="000B2C88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Zamówienie obejmuje dostawę sprzętów laboratoryjnych</w:t>
      </w:r>
      <w:r w:rsidR="00DC687A">
        <w:rPr>
          <w:rFonts w:asciiTheme="majorHAnsi" w:hAnsiTheme="majorHAnsi" w:cstheme="majorHAnsi"/>
          <w:sz w:val="22"/>
          <w:szCs w:val="22"/>
        </w:rPr>
        <w:t xml:space="preserve"> na potrzebę wyposażenia laboratorium</w:t>
      </w:r>
      <w:r>
        <w:rPr>
          <w:rFonts w:asciiTheme="majorHAnsi" w:hAnsiTheme="majorHAnsi" w:cstheme="majorHAnsi"/>
          <w:sz w:val="22"/>
          <w:szCs w:val="22"/>
        </w:rPr>
        <w:t>, których parametry zostały opisane w opisie przedmiotu zamówienia.</w:t>
      </w:r>
    </w:p>
    <w:p w14:paraId="4F9150B1" w14:textId="77777777" w:rsidR="005C4C2C" w:rsidRPr="00A83648" w:rsidRDefault="005C4C2C" w:rsidP="005C4C2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Zamówienie zostało podzielone na części:</w:t>
      </w:r>
    </w:p>
    <w:p w14:paraId="6F0B308C" w14:textId="2BE53F51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bookmarkStart w:id="0" w:name="_Hlk117685868"/>
      <w:r w:rsidRPr="000F1BBD">
        <w:rPr>
          <w:rFonts w:ascii="Calibri Light" w:hAnsi="Calibri Light" w:cs="Calibri Light"/>
          <w:sz w:val="22"/>
          <w:szCs w:val="22"/>
        </w:rPr>
        <w:t xml:space="preserve">Część 1. </w:t>
      </w:r>
      <w:bookmarkStart w:id="1" w:name="_Hlk117601029"/>
      <w:r w:rsidR="00D31A5C" w:rsidRPr="000F1BBD">
        <w:rPr>
          <w:rFonts w:ascii="Calibri Light" w:hAnsi="Calibri Light" w:cs="Calibri Light"/>
          <w:sz w:val="22"/>
          <w:szCs w:val="22"/>
        </w:rPr>
        <w:t>Inkubator z regulacją stężenia CO2 z płaszczem powietrznym i sterylizacją gorącym powietrzem oraz cieplarki z wymuszonym obiegiem powietrza wraz z wyposażeniem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  <w:bookmarkEnd w:id="1"/>
    </w:p>
    <w:p w14:paraId="1B5261FF" w14:textId="14399519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2. </w:t>
      </w:r>
      <w:r w:rsidR="00D31A5C" w:rsidRPr="000F1BBD">
        <w:rPr>
          <w:rFonts w:ascii="Calibri Light" w:hAnsi="Calibri Light" w:cs="Calibri Light"/>
          <w:sz w:val="22"/>
          <w:szCs w:val="22"/>
        </w:rPr>
        <w:t xml:space="preserve">Komora </w:t>
      </w:r>
      <w:proofErr w:type="spellStart"/>
      <w:r w:rsidR="00D31A5C" w:rsidRPr="000F1BBD">
        <w:rPr>
          <w:rFonts w:ascii="Calibri Light" w:hAnsi="Calibri Light" w:cs="Calibri Light"/>
          <w:sz w:val="22"/>
          <w:szCs w:val="22"/>
        </w:rPr>
        <w:t>laminacyjna</w:t>
      </w:r>
      <w:proofErr w:type="spellEnd"/>
      <w:r w:rsidR="00D31A5C" w:rsidRPr="000F1BBD">
        <w:rPr>
          <w:rFonts w:ascii="Calibri Light" w:hAnsi="Calibri Light" w:cs="Calibri Light"/>
          <w:sz w:val="22"/>
          <w:szCs w:val="22"/>
        </w:rPr>
        <w:t xml:space="preserve"> II klasy bezpieczeństwa wraz z wyposażeniem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</w:p>
    <w:p w14:paraId="42864648" w14:textId="233A61C6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3. </w:t>
      </w:r>
      <w:proofErr w:type="spellStart"/>
      <w:r w:rsidR="00D31A5C" w:rsidRPr="000F1BBD">
        <w:rPr>
          <w:rFonts w:ascii="Calibri Light" w:hAnsi="Calibri Light" w:cs="Calibri Light"/>
          <w:sz w:val="22"/>
          <w:szCs w:val="22"/>
        </w:rPr>
        <w:t>Nablatowa</w:t>
      </w:r>
      <w:proofErr w:type="spellEnd"/>
      <w:r w:rsidR="00D31A5C" w:rsidRPr="000F1BBD">
        <w:rPr>
          <w:rFonts w:ascii="Calibri Light" w:hAnsi="Calibri Light" w:cs="Calibri Light"/>
          <w:sz w:val="22"/>
          <w:szCs w:val="22"/>
        </w:rPr>
        <w:t xml:space="preserve"> wirówka laboratoryjna z wyposażeniem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</w:p>
    <w:p w14:paraId="34431F69" w14:textId="3F1AD1E4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4. </w:t>
      </w:r>
      <w:r w:rsidR="00D31A5C" w:rsidRPr="000F1BBD">
        <w:rPr>
          <w:rFonts w:ascii="Calibri Light" w:hAnsi="Calibri Light" w:cs="Calibri Light"/>
          <w:sz w:val="22"/>
          <w:szCs w:val="22"/>
        </w:rPr>
        <w:t>Mikroskop fluoroscencyjny do obserwacji stereoskopowych</w:t>
      </w:r>
    </w:p>
    <w:p w14:paraId="0E18BE2A" w14:textId="59B4C605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lastRenderedPageBreak/>
        <w:t xml:space="preserve">Część 5. </w:t>
      </w:r>
      <w:proofErr w:type="spellStart"/>
      <w:r w:rsidR="00D31A5C" w:rsidRPr="000F1BBD">
        <w:rPr>
          <w:rFonts w:ascii="Calibri Light" w:hAnsi="Calibri Light" w:cs="Calibri Light"/>
          <w:sz w:val="22"/>
          <w:szCs w:val="22"/>
        </w:rPr>
        <w:t>Wielodetekcyjny</w:t>
      </w:r>
      <w:proofErr w:type="spellEnd"/>
      <w:r w:rsidR="00D31A5C" w:rsidRPr="000F1BBD">
        <w:rPr>
          <w:rFonts w:ascii="Calibri Light" w:hAnsi="Calibri Light" w:cs="Calibri Light"/>
          <w:sz w:val="22"/>
          <w:szCs w:val="22"/>
        </w:rPr>
        <w:t xml:space="preserve"> czytnik wysokiej czułości umożliwiający pomiar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</w:p>
    <w:p w14:paraId="6643FB84" w14:textId="0D431CEC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6. </w:t>
      </w:r>
      <w:r w:rsidR="00D31A5C" w:rsidRPr="000F1BBD">
        <w:rPr>
          <w:rFonts w:ascii="Calibri Light" w:hAnsi="Calibri Light" w:cs="Calibri Light"/>
          <w:sz w:val="22"/>
          <w:szCs w:val="22"/>
        </w:rPr>
        <w:t>Zamrażarka laboratoryjna niskotemperaturowa ze stelażem i systemem ostrzegania o zmianie temperatury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</w:p>
    <w:p w14:paraId="5914E1E0" w14:textId="7665ABCE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7. </w:t>
      </w:r>
      <w:r w:rsidR="00D31A5C" w:rsidRPr="000F1BBD">
        <w:rPr>
          <w:rFonts w:ascii="Calibri Light" w:hAnsi="Calibri Light" w:cs="Calibri Light"/>
          <w:sz w:val="22"/>
          <w:szCs w:val="22"/>
        </w:rPr>
        <w:t>Automatyczny system do inokulacji płytek 96-dołkowych</w:t>
      </w:r>
      <w:r w:rsidRPr="000F1BBD">
        <w:rPr>
          <w:rFonts w:ascii="Calibri Light" w:hAnsi="Calibri Light" w:cs="Calibri Light"/>
          <w:sz w:val="22"/>
          <w:szCs w:val="22"/>
        </w:rPr>
        <w:t xml:space="preserve">  </w:t>
      </w:r>
    </w:p>
    <w:p w14:paraId="112A2FEF" w14:textId="4562DB0A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8. </w:t>
      </w:r>
      <w:r w:rsidR="00D31A5C" w:rsidRPr="000F1BBD">
        <w:rPr>
          <w:rFonts w:ascii="Calibri Light" w:hAnsi="Calibri Light" w:cs="Calibri Light"/>
          <w:sz w:val="22"/>
          <w:szCs w:val="22"/>
        </w:rPr>
        <w:t>Mikroskop odwrócony do obserwacji w świetle przechodzącym w jasnym polu oraz w kontraście fazowym</w:t>
      </w:r>
    </w:p>
    <w:p w14:paraId="1A7DAA56" w14:textId="39803666" w:rsidR="00DD5C9C" w:rsidRPr="000F1BBD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0F1BBD">
        <w:rPr>
          <w:rFonts w:ascii="Calibri Light" w:hAnsi="Calibri Light" w:cs="Calibri Light"/>
          <w:sz w:val="22"/>
          <w:szCs w:val="22"/>
        </w:rPr>
        <w:t xml:space="preserve">Część 9. </w:t>
      </w:r>
      <w:r w:rsidR="00D31A5C" w:rsidRPr="000F1BBD">
        <w:rPr>
          <w:rFonts w:ascii="Calibri Light" w:hAnsi="Calibri Light" w:cs="Calibri Light"/>
          <w:sz w:val="22"/>
          <w:szCs w:val="22"/>
        </w:rPr>
        <w:t xml:space="preserve">Cyfrowy system do </w:t>
      </w:r>
      <w:r w:rsidR="00EF2F31" w:rsidRPr="000F1BBD">
        <w:rPr>
          <w:rFonts w:ascii="Calibri Light" w:hAnsi="Calibri Light" w:cs="Calibri Light"/>
          <w:sz w:val="22"/>
          <w:szCs w:val="22"/>
        </w:rPr>
        <w:t>w</w:t>
      </w:r>
      <w:r w:rsidR="00D31A5C" w:rsidRPr="000F1BBD">
        <w:rPr>
          <w:rFonts w:ascii="Calibri Light" w:hAnsi="Calibri Light" w:cs="Calibri Light"/>
          <w:sz w:val="22"/>
          <w:szCs w:val="22"/>
        </w:rPr>
        <w:t>izualizacji MIC dla płytek 96-dołkowych</w:t>
      </w:r>
      <w:r w:rsidRPr="000F1BBD">
        <w:rPr>
          <w:rFonts w:ascii="Calibri Light" w:hAnsi="Calibri Light" w:cs="Calibri Light"/>
          <w:sz w:val="22"/>
          <w:szCs w:val="22"/>
        </w:rPr>
        <w:t xml:space="preserve"> </w:t>
      </w:r>
    </w:p>
    <w:bookmarkEnd w:id="0"/>
    <w:p w14:paraId="0B762C62" w14:textId="77777777" w:rsidR="005C4C2C" w:rsidRPr="000F1BBD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A176A30" w14:textId="23C2176A" w:rsidR="000B2C88" w:rsidRPr="000F1BBD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>Sprzęt musi być fabrycznie nowy, nie używany, posiadać okablowanie niezbędne do uruchomienia poszczególnych urządzeń</w:t>
      </w:r>
      <w:r w:rsidR="005C4C2C" w:rsidRPr="000F1BBD">
        <w:rPr>
          <w:rFonts w:asciiTheme="majorHAnsi" w:hAnsiTheme="majorHAnsi" w:cstheme="majorHAnsi"/>
          <w:sz w:val="22"/>
          <w:szCs w:val="22"/>
        </w:rPr>
        <w:t>.</w:t>
      </w:r>
    </w:p>
    <w:p w14:paraId="6808FE78" w14:textId="540C79EB" w:rsidR="005C4C2C" w:rsidRPr="000F1BBD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>Dostawa wraz z wniesieniem sprzętu w miejsce wskazane przez Zamawiającego odbędzie się do następujących lokalizacji:</w:t>
      </w:r>
    </w:p>
    <w:p w14:paraId="16AA28E1" w14:textId="3B36FD28" w:rsidR="005C4C2C" w:rsidRPr="000F1BBD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>Część 1</w:t>
      </w:r>
      <w:r w:rsidR="00EE2A56" w:rsidRPr="000F1BBD">
        <w:rPr>
          <w:rFonts w:asciiTheme="majorHAnsi" w:hAnsiTheme="majorHAnsi" w:cstheme="majorHAnsi"/>
          <w:sz w:val="22"/>
          <w:szCs w:val="22"/>
        </w:rPr>
        <w:t xml:space="preserve"> - </w:t>
      </w:r>
      <w:r w:rsidR="00D31A5C" w:rsidRPr="000F1BBD">
        <w:rPr>
          <w:rFonts w:asciiTheme="majorHAnsi" w:hAnsiTheme="majorHAnsi" w:cstheme="majorHAnsi"/>
          <w:sz w:val="22"/>
          <w:szCs w:val="22"/>
        </w:rPr>
        <w:t>9</w:t>
      </w:r>
      <w:r w:rsidRPr="000F1BBD">
        <w:rPr>
          <w:rFonts w:asciiTheme="majorHAnsi" w:hAnsiTheme="majorHAnsi" w:cstheme="majorHAnsi"/>
          <w:sz w:val="22"/>
          <w:szCs w:val="22"/>
        </w:rPr>
        <w:t xml:space="preserve">: ul. </w:t>
      </w:r>
      <w:r w:rsidR="00EE2A56" w:rsidRPr="000F1BBD">
        <w:rPr>
          <w:rFonts w:asciiTheme="majorHAnsi" w:hAnsiTheme="majorHAnsi" w:cstheme="majorHAnsi"/>
          <w:sz w:val="22"/>
          <w:szCs w:val="22"/>
        </w:rPr>
        <w:t>Miecznikowa 1, 00-096</w:t>
      </w:r>
      <w:r w:rsidRPr="000F1BBD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7DADFC04" w14:textId="77777777" w:rsidR="005C4C2C" w:rsidRPr="000F1BBD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5E084DC" w14:textId="7D3B1EF3" w:rsidR="005C4C2C" w:rsidRPr="000F1BBD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>Zamawiający wymaga udzielenia gwarancji na dostarczony Sprzęt</w:t>
      </w:r>
      <w:r w:rsidR="008F284F" w:rsidRPr="000F1BBD">
        <w:rPr>
          <w:rFonts w:asciiTheme="majorHAnsi" w:hAnsiTheme="majorHAnsi" w:cstheme="majorHAnsi"/>
          <w:sz w:val="22"/>
          <w:szCs w:val="22"/>
        </w:rPr>
        <w:t xml:space="preserve"> nie krótszej niż:</w:t>
      </w:r>
    </w:p>
    <w:p w14:paraId="2D876330" w14:textId="48D90610" w:rsidR="008F284F" w:rsidRPr="000F1BBD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 xml:space="preserve">Część </w:t>
      </w:r>
      <w:r w:rsidR="00D31A5C" w:rsidRPr="000F1BBD">
        <w:rPr>
          <w:rFonts w:asciiTheme="majorHAnsi" w:hAnsiTheme="majorHAnsi" w:cstheme="majorHAnsi"/>
          <w:sz w:val="22"/>
          <w:szCs w:val="22"/>
        </w:rPr>
        <w:t>5, 7, 8, 9</w:t>
      </w:r>
      <w:r w:rsidR="00D649CC" w:rsidRPr="000F1BBD">
        <w:rPr>
          <w:rFonts w:asciiTheme="majorHAnsi" w:hAnsiTheme="majorHAnsi" w:cstheme="majorHAnsi"/>
          <w:sz w:val="22"/>
          <w:szCs w:val="22"/>
        </w:rPr>
        <w:t xml:space="preserve">  </w:t>
      </w:r>
      <w:r w:rsidR="00D31A5C" w:rsidRPr="000F1BBD">
        <w:rPr>
          <w:rFonts w:asciiTheme="majorHAnsi" w:hAnsiTheme="majorHAnsi" w:cstheme="majorHAnsi"/>
          <w:sz w:val="22"/>
          <w:szCs w:val="22"/>
        </w:rPr>
        <w:tab/>
      </w:r>
      <w:r w:rsidR="00D649CC" w:rsidRPr="000F1BBD">
        <w:rPr>
          <w:rFonts w:asciiTheme="majorHAnsi" w:hAnsiTheme="majorHAnsi" w:cstheme="majorHAnsi"/>
          <w:sz w:val="22"/>
          <w:szCs w:val="22"/>
        </w:rPr>
        <w:t>- 12</w:t>
      </w:r>
      <w:r w:rsidRPr="000F1BBD">
        <w:rPr>
          <w:rFonts w:asciiTheme="majorHAnsi" w:hAnsiTheme="majorHAnsi" w:cstheme="majorHAnsi"/>
          <w:sz w:val="22"/>
          <w:szCs w:val="22"/>
        </w:rPr>
        <w:t xml:space="preserve"> miesi</w:t>
      </w:r>
      <w:r w:rsidR="00D649CC" w:rsidRPr="000F1BBD">
        <w:rPr>
          <w:rFonts w:asciiTheme="majorHAnsi" w:hAnsiTheme="majorHAnsi" w:cstheme="majorHAnsi"/>
          <w:sz w:val="22"/>
          <w:szCs w:val="22"/>
        </w:rPr>
        <w:t>ę</w:t>
      </w:r>
      <w:r w:rsidRPr="000F1BBD">
        <w:rPr>
          <w:rFonts w:asciiTheme="majorHAnsi" w:hAnsiTheme="majorHAnsi" w:cstheme="majorHAnsi"/>
          <w:sz w:val="22"/>
          <w:szCs w:val="22"/>
        </w:rPr>
        <w:t>c</w:t>
      </w:r>
      <w:r w:rsidR="000658E1" w:rsidRPr="000F1BBD">
        <w:rPr>
          <w:rFonts w:asciiTheme="majorHAnsi" w:hAnsiTheme="majorHAnsi" w:cstheme="majorHAnsi"/>
          <w:sz w:val="22"/>
          <w:szCs w:val="22"/>
        </w:rPr>
        <w:t>y</w:t>
      </w:r>
    </w:p>
    <w:p w14:paraId="3DF4E6EE" w14:textId="5E7CBDFB" w:rsidR="008F284F" w:rsidRPr="000F1BBD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 xml:space="preserve">Część </w:t>
      </w:r>
      <w:r w:rsidR="00D31A5C" w:rsidRPr="000F1BBD">
        <w:rPr>
          <w:rFonts w:asciiTheme="majorHAnsi" w:hAnsiTheme="majorHAnsi" w:cstheme="majorHAnsi"/>
          <w:sz w:val="22"/>
          <w:szCs w:val="22"/>
        </w:rPr>
        <w:t>4</w:t>
      </w:r>
      <w:r w:rsidR="00D649CC" w:rsidRPr="000F1BBD">
        <w:rPr>
          <w:rFonts w:asciiTheme="majorHAnsi" w:hAnsiTheme="majorHAnsi" w:cstheme="majorHAnsi"/>
          <w:sz w:val="22"/>
          <w:szCs w:val="22"/>
        </w:rPr>
        <w:t xml:space="preserve"> </w:t>
      </w:r>
      <w:r w:rsidR="00D31A5C" w:rsidRPr="000F1BBD">
        <w:rPr>
          <w:rFonts w:asciiTheme="majorHAnsi" w:hAnsiTheme="majorHAnsi" w:cstheme="majorHAnsi"/>
          <w:sz w:val="22"/>
          <w:szCs w:val="22"/>
        </w:rPr>
        <w:tab/>
      </w:r>
      <w:r w:rsidR="00D649CC" w:rsidRPr="000F1BBD">
        <w:rPr>
          <w:rFonts w:asciiTheme="majorHAnsi" w:hAnsiTheme="majorHAnsi" w:cstheme="majorHAnsi"/>
          <w:sz w:val="22"/>
          <w:szCs w:val="22"/>
        </w:rPr>
        <w:t xml:space="preserve">– 24 </w:t>
      </w:r>
      <w:r w:rsidRPr="000F1BBD">
        <w:rPr>
          <w:rFonts w:asciiTheme="majorHAnsi" w:hAnsiTheme="majorHAnsi" w:cstheme="majorHAnsi"/>
          <w:sz w:val="22"/>
          <w:szCs w:val="22"/>
        </w:rPr>
        <w:t xml:space="preserve"> miesi</w:t>
      </w:r>
      <w:r w:rsidR="00D649CC" w:rsidRPr="000F1BBD">
        <w:rPr>
          <w:rFonts w:asciiTheme="majorHAnsi" w:hAnsiTheme="majorHAnsi" w:cstheme="majorHAnsi"/>
          <w:sz w:val="22"/>
          <w:szCs w:val="22"/>
        </w:rPr>
        <w:t>ące</w:t>
      </w:r>
    </w:p>
    <w:p w14:paraId="5617BF5D" w14:textId="72913CDE" w:rsidR="00D31A5C" w:rsidRPr="000F1BBD" w:rsidRDefault="00D31A5C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1BBD">
        <w:rPr>
          <w:rFonts w:asciiTheme="majorHAnsi" w:hAnsiTheme="majorHAnsi" w:cstheme="majorHAnsi"/>
          <w:sz w:val="22"/>
          <w:szCs w:val="22"/>
        </w:rPr>
        <w:t xml:space="preserve">Część 1, 2, 3, 6 </w:t>
      </w:r>
      <w:r w:rsidRPr="000F1BBD">
        <w:rPr>
          <w:rFonts w:asciiTheme="majorHAnsi" w:hAnsiTheme="majorHAnsi" w:cstheme="majorHAnsi"/>
          <w:sz w:val="22"/>
          <w:szCs w:val="22"/>
        </w:rPr>
        <w:tab/>
        <w:t>– 36 miesięcy</w:t>
      </w:r>
    </w:p>
    <w:p w14:paraId="5D9DDD91" w14:textId="67E1C74E" w:rsidR="00D649CC" w:rsidRPr="00D31A5C" w:rsidRDefault="00D31A5C" w:rsidP="00D31A5C">
      <w:pPr>
        <w:pStyle w:val="Akapitzlist"/>
        <w:ind w:left="426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D31A5C">
        <w:rPr>
          <w:rFonts w:asciiTheme="majorHAnsi" w:hAnsiTheme="majorHAnsi" w:cstheme="majorHAnsi"/>
          <w:color w:val="00B050"/>
          <w:sz w:val="22"/>
          <w:szCs w:val="22"/>
        </w:rPr>
        <w:t xml:space="preserve">* kryterium </w:t>
      </w:r>
      <w:r w:rsidR="00A308D8">
        <w:rPr>
          <w:rFonts w:asciiTheme="majorHAnsi" w:hAnsiTheme="majorHAnsi" w:cstheme="majorHAnsi"/>
          <w:color w:val="00B050"/>
          <w:sz w:val="22"/>
          <w:szCs w:val="22"/>
        </w:rPr>
        <w:t>okres</w:t>
      </w:r>
      <w:r w:rsidRPr="00D31A5C">
        <w:rPr>
          <w:rFonts w:asciiTheme="majorHAnsi" w:hAnsiTheme="majorHAnsi" w:cstheme="majorHAnsi"/>
          <w:color w:val="00B050"/>
          <w:sz w:val="22"/>
          <w:szCs w:val="22"/>
        </w:rPr>
        <w:t xml:space="preserve"> gwarancji stanowi </w:t>
      </w:r>
      <w:r w:rsidR="00A308D8">
        <w:rPr>
          <w:rFonts w:asciiTheme="majorHAnsi" w:hAnsiTheme="majorHAnsi" w:cstheme="majorHAnsi"/>
          <w:color w:val="00B050"/>
          <w:sz w:val="22"/>
          <w:szCs w:val="22"/>
        </w:rPr>
        <w:t xml:space="preserve">jedno z kryterium </w:t>
      </w:r>
      <w:r w:rsidRPr="00D31A5C">
        <w:rPr>
          <w:rFonts w:asciiTheme="majorHAnsi" w:hAnsiTheme="majorHAnsi" w:cstheme="majorHAnsi"/>
          <w:color w:val="00B050"/>
          <w:sz w:val="22"/>
          <w:szCs w:val="22"/>
        </w:rPr>
        <w:t>ocen</w:t>
      </w:r>
      <w:r w:rsidR="00A308D8">
        <w:rPr>
          <w:rFonts w:asciiTheme="majorHAnsi" w:hAnsiTheme="majorHAnsi" w:cstheme="majorHAnsi"/>
          <w:color w:val="00B050"/>
          <w:sz w:val="22"/>
          <w:szCs w:val="22"/>
        </w:rPr>
        <w:t>y</w:t>
      </w:r>
      <w:r w:rsidRPr="00D31A5C">
        <w:rPr>
          <w:rFonts w:asciiTheme="majorHAnsi" w:hAnsiTheme="majorHAnsi" w:cstheme="majorHAnsi"/>
          <w:color w:val="00B050"/>
          <w:sz w:val="22"/>
          <w:szCs w:val="22"/>
        </w:rPr>
        <w:t xml:space="preserve"> ofert</w:t>
      </w:r>
    </w:p>
    <w:p w14:paraId="10ECB88C" w14:textId="2B53562A" w:rsidR="008F284F" w:rsidRPr="001111BC" w:rsidRDefault="008F284F" w:rsidP="008F284F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8F284F">
        <w:rPr>
          <w:rFonts w:asciiTheme="majorHAnsi" w:hAnsiTheme="majorHAnsi" w:cstheme="majorHAnsi"/>
          <w:sz w:val="22"/>
          <w:szCs w:val="22"/>
        </w:rPr>
        <w:t>liczon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8F284F">
        <w:rPr>
          <w:rFonts w:asciiTheme="majorHAnsi" w:hAnsiTheme="majorHAnsi" w:cstheme="majorHAnsi"/>
          <w:sz w:val="22"/>
          <w:szCs w:val="22"/>
        </w:rPr>
        <w:t xml:space="preserve"> od</w:t>
      </w:r>
      <w:r w:rsidRPr="00441E4E">
        <w:rPr>
          <w:sz w:val="22"/>
          <w:szCs w:val="22"/>
        </w:rPr>
        <w:t xml:space="preserve"> </w:t>
      </w:r>
      <w:r w:rsidRPr="001111BC">
        <w:rPr>
          <w:rFonts w:ascii="Calibri Light" w:hAnsi="Calibri Light" w:cs="Calibri Light"/>
          <w:sz w:val="22"/>
          <w:szCs w:val="22"/>
        </w:rPr>
        <w:t>dnia  podpisania protokołu odbioru jakościowego przez obydwie Strony (bez zastrzeżeń).</w:t>
      </w: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009F40F2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11565C6" w14:textId="0C0F6890" w:rsidR="00A900BB" w:rsidRPr="00A83648" w:rsidRDefault="004807FC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Główny </w:t>
      </w:r>
      <w:r w:rsidR="00895E51" w:rsidRPr="00A83648">
        <w:rPr>
          <w:rFonts w:asciiTheme="majorHAnsi" w:hAnsiTheme="majorHAnsi" w:cstheme="majorHAnsi"/>
          <w:sz w:val="22"/>
          <w:szCs w:val="22"/>
        </w:rPr>
        <w:t xml:space="preserve">Kod CPV: </w:t>
      </w:r>
      <w:r>
        <w:rPr>
          <w:rFonts w:asciiTheme="majorHAnsi" w:hAnsiTheme="majorHAnsi" w:cstheme="majorHAnsi"/>
          <w:sz w:val="22"/>
          <w:szCs w:val="22"/>
        </w:rPr>
        <w:t>38500000-0</w:t>
      </w:r>
    </w:p>
    <w:p w14:paraId="06FA94CC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547"/>
      </w:tblGrid>
      <w:tr w:rsidR="00A900BB" w:rsidRPr="00A83648" w14:paraId="10BD173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48BBD92D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777" w14:textId="63A70F2E" w:rsidR="00A900BB" w:rsidRPr="00DE6AC9" w:rsidRDefault="00D31A5C" w:rsidP="00D31A5C">
            <w:pPr>
              <w:pStyle w:val="Nagwek3"/>
              <w:rPr>
                <w:rFonts w:ascii="Calibri Light" w:hAnsi="Calibri Light" w:cs="Calibri Light"/>
                <w:sz w:val="22"/>
                <w:szCs w:val="22"/>
              </w:rPr>
            </w:pPr>
            <w:r w:rsidRPr="00D31A5C">
              <w:rPr>
                <w:color w:val="auto"/>
                <w:sz w:val="22"/>
                <w:szCs w:val="22"/>
              </w:rPr>
              <w:t>33152000-0</w:t>
            </w:r>
            <w:r w:rsidRPr="00D31A5C">
              <w:rPr>
                <w:color w:val="auto"/>
              </w:rPr>
              <w:t xml:space="preserve"> </w:t>
            </w:r>
            <w:r w:rsidR="000B2C88"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 </w:t>
            </w:r>
            <w:r w:rsidR="007551E3">
              <w:rPr>
                <w:rFonts w:ascii="Calibri Light" w:hAnsi="Calibri Light" w:cs="Calibri Light"/>
                <w:color w:val="000000"/>
                <w:sz w:val="22"/>
                <w:szCs w:val="22"/>
              </w:rPr>
              <w:t>Inkubator</w:t>
            </w:r>
          </w:p>
        </w:tc>
      </w:tr>
      <w:tr w:rsidR="00D31A5C" w:rsidRPr="00A83648" w14:paraId="25BE3BF9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6565" w14:textId="3BC43F55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BFC" w14:textId="3F7B8F01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D31A5C" w:rsidRPr="00A83648" w14:paraId="3776CBD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EEE" w14:textId="3F0E273F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1642" w14:textId="6A462366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42931100-2 - Wirówka</w:t>
            </w:r>
          </w:p>
        </w:tc>
      </w:tr>
      <w:tr w:rsidR="00D31A5C" w:rsidRPr="00A83648" w14:paraId="09483A14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36EC" w14:textId="138DAB75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592" w14:textId="18FEBD0D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38515000-8 - Mikroskop</w:t>
            </w:r>
          </w:p>
        </w:tc>
      </w:tr>
      <w:tr w:rsidR="00D31A5C" w:rsidRPr="00A83648" w14:paraId="5998B515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D29D" w14:textId="66E169E0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A196" w14:textId="2EDE6164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38300000-8  - Czytnik</w:t>
            </w:r>
          </w:p>
        </w:tc>
      </w:tr>
      <w:tr w:rsidR="00D31A5C" w:rsidRPr="00A83648" w14:paraId="59D4E37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7FB1" w14:textId="74D6A12A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68E" w14:textId="06DB1C7F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39711120-6 - Zamrażarka</w:t>
            </w:r>
          </w:p>
        </w:tc>
      </w:tr>
      <w:tr w:rsidR="00D31A5C" w:rsidRPr="00A83648" w14:paraId="57B6798F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673E" w14:textId="494B6189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189" w14:textId="3A2142C2" w:rsidR="00D31A5C" w:rsidRPr="00DE6AC9" w:rsidRDefault="00D31A5C" w:rsidP="00D31A5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D31A5C" w:rsidRPr="00A83648" w14:paraId="54E75558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5FD2" w14:textId="51CF70DD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CB76" w14:textId="2D1349A7" w:rsidR="00D31A5C" w:rsidRPr="00DE6AC9" w:rsidRDefault="00D31A5C" w:rsidP="00D31A5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38515000-8 - Mikroskop</w:t>
            </w:r>
          </w:p>
        </w:tc>
      </w:tr>
      <w:tr w:rsidR="00D31A5C" w:rsidRPr="00A83648" w14:paraId="0B6D78EF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E4F7" w14:textId="3E351008" w:rsidR="00D31A5C" w:rsidRPr="00A83648" w:rsidRDefault="00D31A5C" w:rsidP="00D3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2F6" w14:textId="1C0E542A" w:rsidR="00D31A5C" w:rsidRPr="00DE6AC9" w:rsidRDefault="00D31A5C" w:rsidP="00D31A5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0892CBEB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1a do SWZ dla części </w:t>
      </w:r>
      <w:r>
        <w:rPr>
          <w:rFonts w:asciiTheme="majorHAnsi" w:hAnsiTheme="majorHAnsi" w:cstheme="majorHAnsi"/>
          <w:sz w:val="22"/>
          <w:szCs w:val="22"/>
        </w:rPr>
        <w:t>1</w:t>
      </w:r>
    </w:p>
    <w:p w14:paraId="02A59CAA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1b do SWZ dla części </w:t>
      </w:r>
      <w:r>
        <w:rPr>
          <w:rFonts w:asciiTheme="majorHAnsi" w:hAnsiTheme="majorHAnsi" w:cstheme="majorHAnsi"/>
          <w:sz w:val="22"/>
          <w:szCs w:val="22"/>
        </w:rPr>
        <w:t>2</w:t>
      </w:r>
    </w:p>
    <w:p w14:paraId="2677D244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1c do SWZ dla części </w:t>
      </w:r>
      <w:r>
        <w:rPr>
          <w:rFonts w:asciiTheme="majorHAnsi" w:hAnsiTheme="majorHAnsi" w:cstheme="majorHAnsi"/>
          <w:sz w:val="22"/>
          <w:szCs w:val="22"/>
        </w:rPr>
        <w:t>3</w:t>
      </w:r>
    </w:p>
    <w:p w14:paraId="5DCA507F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1d do SWZ dla części 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357F0828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1e do SWZ dla części 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6568AF36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1f do SWZ dla części </w:t>
      </w:r>
      <w:r>
        <w:rPr>
          <w:rFonts w:asciiTheme="majorHAnsi" w:hAnsiTheme="majorHAnsi" w:cstheme="majorHAnsi"/>
          <w:sz w:val="22"/>
          <w:szCs w:val="22"/>
        </w:rPr>
        <w:t>6</w:t>
      </w:r>
    </w:p>
    <w:p w14:paraId="7C168BCC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1g do SWZ dla części </w:t>
      </w:r>
      <w:r>
        <w:rPr>
          <w:rFonts w:asciiTheme="majorHAnsi" w:hAnsiTheme="majorHAnsi" w:cstheme="majorHAnsi"/>
          <w:sz w:val="22"/>
          <w:szCs w:val="22"/>
        </w:rPr>
        <w:t>7</w:t>
      </w:r>
    </w:p>
    <w:p w14:paraId="07FE0181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8</w:t>
      </w:r>
    </w:p>
    <w:p w14:paraId="368C7706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0CB95CE7" w14:textId="66477917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INFORMACJA O PRZEDMIOTOWYCH ŚRODKACH DOWODOWYCH</w:t>
      </w:r>
    </w:p>
    <w:p w14:paraId="26C694B9" w14:textId="51E57761" w:rsidR="009F40F2" w:rsidRPr="00A83648" w:rsidRDefault="009F40F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złożenia </w:t>
      </w:r>
      <w:r w:rsidR="008819E2" w:rsidRPr="00A83648">
        <w:rPr>
          <w:rFonts w:asciiTheme="majorHAnsi" w:hAnsiTheme="majorHAnsi" w:cstheme="majorHAnsi"/>
          <w:b/>
          <w:bCs/>
          <w:sz w:val="22"/>
          <w:szCs w:val="22"/>
        </w:rPr>
        <w:t>wraz z ofertą</w:t>
      </w:r>
      <w:r w:rsidR="008819E2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przedmiotow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</w:t>
      </w:r>
      <w:r w:rsidRPr="00A83648">
        <w:rPr>
          <w:rFonts w:asciiTheme="majorHAnsi" w:hAnsiTheme="majorHAnsi" w:cstheme="majorHAnsi"/>
          <w:sz w:val="22"/>
          <w:szCs w:val="22"/>
        </w:rPr>
        <w:t xml:space="preserve"> środk</w:t>
      </w:r>
      <w:r w:rsidR="008819E2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dowodow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 w postaci szczegółowej specyfikacji technicznej oferowanego Sprzętu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CD0182" w14:textId="0BFD208F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</w:t>
      </w:r>
      <w:r w:rsidR="00B17BD6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cy przewiduje możliwość uzupełnienia przedmiotowego środka dowodowego na zasadach określonych w art. 107 ust. 2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94836D4" w14:textId="1D7D8F20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4B0CBC" w:rsidRPr="00A83648">
        <w:rPr>
          <w:rFonts w:asciiTheme="majorHAnsi" w:hAnsiTheme="majorHAnsi" w:cstheme="majorHAnsi"/>
          <w:sz w:val="22"/>
          <w:szCs w:val="22"/>
        </w:rPr>
        <w:t xml:space="preserve">szczegółowej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specyfikacji technicznej, o której mowa w ust. 1 stanowi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104819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</w:t>
      </w:r>
      <w:r w:rsidR="0081172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6B90AE6" w14:textId="0180DC35" w:rsidR="003C72FA" w:rsidRPr="00A83648" w:rsidRDefault="003C72FA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przedmiotowego środka dowodowego postanowienia § 11 SWZ stosuje się.</w:t>
      </w:r>
    </w:p>
    <w:p w14:paraId="2B445074" w14:textId="358CC365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3185696F" w14:textId="77777777" w:rsidR="008F284F" w:rsidRDefault="009F40F2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wykona zamówienie w terminie</w:t>
      </w:r>
      <w:r w:rsidR="008F284F">
        <w:rPr>
          <w:rFonts w:asciiTheme="majorHAnsi" w:hAnsiTheme="majorHAnsi" w:cstheme="majorHAnsi"/>
          <w:sz w:val="22"/>
          <w:szCs w:val="22"/>
        </w:rPr>
        <w:t>:</w:t>
      </w:r>
    </w:p>
    <w:p w14:paraId="08B2A542" w14:textId="77777777" w:rsidR="008F284F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99719A" w14:textId="24770A46" w:rsidR="008F284F" w:rsidRDefault="008F284F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86722">
        <w:rPr>
          <w:rFonts w:ascii="Calibri Light" w:hAnsi="Calibri Light" w:cs="Calibri Light"/>
          <w:color w:val="000000" w:themeColor="text1"/>
          <w:sz w:val="22"/>
          <w:szCs w:val="22"/>
        </w:rPr>
        <w:t>Część 1</w:t>
      </w:r>
      <w:r w:rsidR="00D31A5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– 3 </w:t>
      </w:r>
      <w:r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A308D8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ab/>
      </w:r>
      <w:r w:rsidR="00D649CC"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–</w:t>
      </w:r>
      <w:r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D649CC" w:rsidRPr="00686722">
        <w:rPr>
          <w:rFonts w:ascii="Calibri Light" w:hAnsi="Calibri Light" w:cs="Calibri Light"/>
          <w:color w:val="000000" w:themeColor="text1"/>
          <w:sz w:val="22"/>
          <w:szCs w:val="22"/>
        </w:rPr>
        <w:t>maksymalnie 1</w:t>
      </w:r>
      <w:r w:rsidR="00D31A5C">
        <w:rPr>
          <w:rFonts w:ascii="Calibri Light" w:hAnsi="Calibri Light" w:cs="Calibri Light"/>
          <w:color w:val="000000" w:themeColor="text1"/>
          <w:sz w:val="22"/>
          <w:szCs w:val="22"/>
        </w:rPr>
        <w:t>0</w:t>
      </w:r>
      <w:r w:rsidR="00D649CC" w:rsidRPr="006867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tygodni</w:t>
      </w:r>
      <w:r w:rsidRPr="006867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F045253" w14:textId="51116C5D" w:rsidR="00D31A5C" w:rsidRDefault="00D31A5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Część 4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– maksymalnie 16 tygodni</w:t>
      </w:r>
    </w:p>
    <w:p w14:paraId="45C22BFB" w14:textId="05D1D4C8" w:rsidR="00D31A5C" w:rsidRDefault="00D31A5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Część 5 i 8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– maksymalnie 12 tygodni</w:t>
      </w:r>
    </w:p>
    <w:p w14:paraId="26D82043" w14:textId="30E4CBFB" w:rsidR="00D31A5C" w:rsidRDefault="00D31A5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Część 6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–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maksymalnie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2 tygodnie</w:t>
      </w:r>
    </w:p>
    <w:p w14:paraId="04DC9E01" w14:textId="24AFCAC7" w:rsidR="00D31A5C" w:rsidRPr="00686722" w:rsidRDefault="00D31A5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Część 7 i 9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– </w:t>
      </w:r>
      <w:r w:rsidR="00A308D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maksymalnie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4 tygodnie</w:t>
      </w:r>
    </w:p>
    <w:p w14:paraId="64BCAE8F" w14:textId="77777777" w:rsidR="00D649CC" w:rsidRPr="00EE2A56" w:rsidRDefault="00D649C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  <w:highlight w:val="red"/>
        </w:rPr>
      </w:pPr>
    </w:p>
    <w:p w14:paraId="0C7381C5" w14:textId="625143B6" w:rsidR="009931F5" w:rsidRPr="00A83648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</w:t>
      </w:r>
      <w:r w:rsidR="00895E51" w:rsidRPr="00A83648">
        <w:rPr>
          <w:rFonts w:asciiTheme="majorHAnsi" w:hAnsiTheme="majorHAnsi" w:cstheme="majorHAnsi"/>
          <w:sz w:val="22"/>
          <w:szCs w:val="22"/>
        </w:rPr>
        <w:t>d dnia zawarcia umowy</w:t>
      </w:r>
      <w:r w:rsidR="000E0C1D" w:rsidRPr="00A83648">
        <w:rPr>
          <w:rFonts w:asciiTheme="majorHAnsi" w:hAnsiTheme="majorHAnsi" w:cstheme="majorHAnsi"/>
          <w:sz w:val="22"/>
          <w:szCs w:val="22"/>
        </w:rPr>
        <w:t xml:space="preserve"> lub krótszym jeżeli taki został zaoferowany w ofercie</w:t>
      </w:r>
      <w:r w:rsidR="00895E51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805AEC" w14:textId="1107706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16048ACA" w:rsidR="009F40F2" w:rsidRPr="00E82280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="00E8228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82280" w:rsidRPr="00E82280">
        <w:rPr>
          <w:rFonts w:asciiTheme="majorHAnsi" w:hAnsiTheme="majorHAnsi" w:cstheme="majorHAnsi"/>
          <w:bCs/>
          <w:sz w:val="22"/>
          <w:szCs w:val="22"/>
        </w:rPr>
        <w:t xml:space="preserve">o których mowa w art. 108 ustawy </w:t>
      </w:r>
      <w:proofErr w:type="spellStart"/>
      <w:r w:rsidR="00E82280" w:rsidRPr="00E82280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E82280">
        <w:rPr>
          <w:rFonts w:asciiTheme="majorHAnsi" w:hAnsiTheme="majorHAnsi" w:cstheme="majorHAnsi"/>
          <w:bCs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4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2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4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5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1A0D9E32" w14:textId="474D13E4" w:rsidR="00147FB0" w:rsidRPr="00A83648" w:rsidRDefault="00147FB0" w:rsidP="00147FB0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nie może być́ objęty zakazem,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FE2B1F" w14:textId="367B3BC2" w:rsidR="0005107E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kwietnia 2022 r. o szczególnych rozwiązaniach w zakresie przeciwdziałania wspieraniu agresji na Ukrainę̨ oraz służących ochronie bezpieczeństwa narodowego; </w:t>
      </w:r>
    </w:p>
    <w:p w14:paraId="5EF76F70" w14:textId="79A71D0E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liste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B6BD311" w14:textId="6FAEEA8F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392B09EF" w14:textId="6AF47C8C" w:rsidR="009F40F2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05AFBD3" w14:textId="77777777" w:rsidR="006809A9" w:rsidRPr="00A83648" w:rsidRDefault="006809A9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7D7B95F4" w:rsidR="009F40F2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0934BCB6" w14:textId="77777777" w:rsidR="006809A9" w:rsidRPr="00A83648" w:rsidRDefault="006809A9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53DA59ED" w14:textId="77777777" w:rsidR="00434A0B" w:rsidRPr="00A83648" w:rsidRDefault="00434A0B" w:rsidP="00434A0B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D1FD480" w14:textId="092803BA" w:rsidR="00E032BE" w:rsidRPr="00A83648" w:rsidRDefault="00E032BE" w:rsidP="003E5B6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DE69A7D" w14:textId="70D9FC55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lastRenderedPageBreak/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6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3BC1DEAF" w:rsidR="009F40F2" w:rsidRPr="00A83648" w:rsidRDefault="009F40F2" w:rsidP="00FD72B5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hyperlink r:id="rId19" w:anchor="/document/16798683?unitId=art(228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228-230a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hyperlink r:id="rId20" w:anchor="/document/17631344?unitId=art(250(a)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250a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hyperlink r:id="rId21" w:anchor="/document/17631344?unitId=art(46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46-48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hyperlink r:id="rId22" w:anchor="/document/17712396?unitId=art(54)ust(1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54 ust. 1-4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lastRenderedPageBreak/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3B52E8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1024945C" w:rsidR="00432C7E" w:rsidRPr="00A83648" w:rsidRDefault="00432C7E" w:rsidP="00432C7E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także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złożenia przez Wykonawcę̨ wraz z ofertą</w:t>
      </w:r>
      <w:r w:rsidRPr="00A83648">
        <w:rPr>
          <w:rFonts w:asciiTheme="majorHAnsi" w:hAnsiTheme="majorHAnsi" w:cstheme="majorHAns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W przypadku wykonawców </w:t>
      </w:r>
      <w:r w:rsidRPr="00872A87">
        <w:rPr>
          <w:rFonts w:asciiTheme="majorHAnsi" w:hAnsiTheme="majorHAnsi" w:cstheme="majorHAnsi"/>
          <w:sz w:val="22"/>
          <w:szCs w:val="22"/>
        </w:rPr>
        <w:t xml:space="preserve">wspólnie ubiegających się o udzielenie zamówienia oświadczenie to składa każdy z nich. Oświadczenie składa także podmiot, o </w:t>
      </w:r>
      <w:r w:rsidR="00872A87" w:rsidRPr="00872A87">
        <w:rPr>
          <w:rFonts w:asciiTheme="majorHAnsi" w:hAnsiTheme="majorHAnsi" w:cstheme="majorHAnsi"/>
          <w:sz w:val="22"/>
          <w:szCs w:val="22"/>
        </w:rPr>
        <w:t>którym</w:t>
      </w:r>
      <w:r w:rsidRPr="00872A87">
        <w:rPr>
          <w:rFonts w:asciiTheme="majorHAnsi" w:hAnsiTheme="majorHAnsi" w:cstheme="majorHAnsi"/>
          <w:sz w:val="22"/>
          <w:szCs w:val="22"/>
        </w:rPr>
        <w:t xml:space="preserve"> mowa w art. 118 ustawy </w:t>
      </w:r>
      <w:proofErr w:type="spellStart"/>
      <w:r w:rsidRPr="00872A8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72A87">
        <w:rPr>
          <w:rFonts w:asciiTheme="majorHAnsi" w:hAnsiTheme="majorHAnsi" w:cstheme="majorHAnsi"/>
          <w:sz w:val="22"/>
          <w:szCs w:val="22"/>
        </w:rPr>
        <w:t xml:space="preserve">. Wzór oświadczenia stanowi załącznik nr </w:t>
      </w:r>
      <w:r w:rsidR="00872A87" w:rsidRPr="00872A87">
        <w:rPr>
          <w:rFonts w:asciiTheme="majorHAnsi" w:hAnsiTheme="majorHAnsi" w:cstheme="majorHAnsi"/>
          <w:sz w:val="22"/>
          <w:szCs w:val="22"/>
        </w:rPr>
        <w:t>3</w:t>
      </w:r>
      <w:r w:rsidRPr="00872A87">
        <w:rPr>
          <w:rFonts w:asciiTheme="majorHAnsi" w:hAnsiTheme="majorHAnsi" w:cstheme="majorHAnsi"/>
          <w:sz w:val="22"/>
          <w:szCs w:val="22"/>
        </w:rPr>
        <w:t xml:space="preserve"> do SWZ.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1CEF58AE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 ŚRODKÓW DOWODOWYCH SKŁADANYCH NA WEZWANIE ZAMAWIAJĄCEGO</w:t>
      </w:r>
    </w:p>
    <w:p w14:paraId="664F74A0" w14:textId="015EA793" w:rsidR="009F40F2" w:rsidRPr="00434A0B" w:rsidRDefault="009F40F2" w:rsidP="004A466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23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4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lastRenderedPageBreak/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5A5787E7" w:rsidR="00CD1491" w:rsidRPr="00FF5A9B" w:rsidRDefault="00CD1491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oświadczenia wykonawcy o zaistnieniu przesłanek, o których mowa w § 7 ust. 9 i 10 SWZ. Wzór oświadczenia stanowi </w:t>
      </w:r>
      <w:r w:rsidRPr="00A308D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FF5A9B" w:rsidRPr="00A308D8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</w:t>
      </w:r>
      <w:r w:rsidR="00151799" w:rsidRPr="00A308D8">
        <w:rPr>
          <w:rFonts w:asciiTheme="majorHAnsi" w:hAnsiTheme="majorHAnsi" w:cstheme="majorHAnsi"/>
          <w:b/>
          <w:bCs/>
          <w:sz w:val="22"/>
          <w:szCs w:val="22"/>
        </w:rPr>
        <w:t>6a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25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6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07385651" w14:textId="397F525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żąda od wykonawcy, który polega na zdolnościach technicznych lub zawodowych lub sytuacji finansowej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lub ekonomicznej podmiotów udostępniających zasoby na zasadach określonych w art. 118 – 123 </w:t>
      </w:r>
      <w:proofErr w:type="spellStart"/>
      <w:r w:rsidRPr="005E2441">
        <w:rPr>
          <w:rFonts w:asciiTheme="majorHAnsi" w:hAnsiTheme="majorHAnsi" w:cstheme="majorHAnsi"/>
          <w:b/>
          <w:iCs/>
          <w:sz w:val="22"/>
          <w:szCs w:val="22"/>
        </w:rPr>
        <w:t>pzp</w:t>
      </w:r>
      <w:proofErr w:type="spellEnd"/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 przedstawienia podmiotowych środków dowodowych, o których mowa  w ust. </w:t>
      </w:r>
      <w:r w:rsidR="00312B0E"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1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pkt 1 i 3 – </w:t>
      </w:r>
      <w:r w:rsidR="00B8393E" w:rsidRPr="005E2441">
        <w:rPr>
          <w:rFonts w:asciiTheme="majorHAnsi" w:hAnsiTheme="majorHAnsi" w:cstheme="majorHAnsi"/>
          <w:b/>
          <w:iCs/>
          <w:sz w:val="22"/>
          <w:szCs w:val="22"/>
        </w:rPr>
        <w:t>4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>.</w:t>
      </w:r>
      <w:r w:rsidRPr="005E2441">
        <w:rPr>
          <w:rFonts w:asciiTheme="majorHAnsi" w:hAnsiTheme="majorHAnsi" w:cstheme="majorHAnsi"/>
          <w:iCs/>
          <w:sz w:val="22"/>
          <w:szCs w:val="22"/>
        </w:rPr>
        <w:t xml:space="preserve"> Postanowienia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ust. </w:t>
      </w:r>
      <w:r w:rsidR="00312B0E" w:rsidRPr="00A83648">
        <w:rPr>
          <w:rFonts w:asciiTheme="majorHAnsi" w:hAnsiTheme="majorHAnsi" w:cstheme="majorHAnsi"/>
          <w:iCs/>
          <w:sz w:val="22"/>
          <w:szCs w:val="22"/>
        </w:rPr>
        <w:t xml:space="preserve">2 </w:t>
      </w:r>
      <w:r w:rsidRPr="00A83648">
        <w:rPr>
          <w:rFonts w:asciiTheme="majorHAnsi" w:hAnsiTheme="majorHAnsi" w:cstheme="majorHAnsi"/>
          <w:iCs/>
          <w:sz w:val="22"/>
          <w:szCs w:val="22"/>
        </w:rPr>
        <w:t>stosuje się odpowiednio.</w:t>
      </w:r>
    </w:p>
    <w:p w14:paraId="17541C9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10DAC646" w14:textId="731ED858" w:rsidR="009F40F2" w:rsidRPr="00A83648" w:rsidRDefault="00312B0E" w:rsidP="00476009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przed wyborem najkorzystniejszej oferty wzywa wykonawcę, którego oferta została najwyżej oceniona, do złożenia w wyznaczonym terminie nie krótszym niż 10 dni aktualnych na dzień złożenia następujących środków dowodowych 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potwierdzających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spełniani</w:t>
      </w:r>
      <w:r w:rsidR="002D582B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e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przez wykonawcę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warunków udziału w postępowaniu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 w zakresie:</w:t>
      </w:r>
    </w:p>
    <w:p w14:paraId="6378F74B" w14:textId="2E98EA1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Uprawnień do prowadzenia określonej działalności gospodarczej lub zawodowej:</w:t>
      </w:r>
    </w:p>
    <w:p w14:paraId="6E31F66F" w14:textId="085B6636" w:rsidR="009F40F2" w:rsidRPr="00A83648" w:rsidRDefault="00975E88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0DC7F238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170A0C2" w14:textId="3B5A32C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Sytuacji ekonomicznej lub finansowej:</w:t>
      </w:r>
    </w:p>
    <w:p w14:paraId="25ACEAFC" w14:textId="77777777" w:rsidR="00A05A1F" w:rsidRPr="00A83648" w:rsidRDefault="00A05A1F" w:rsidP="00A05A1F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3F8413A4" w14:textId="77777777" w:rsidR="002D582B" w:rsidRPr="00A83648" w:rsidRDefault="002D582B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62262FCA" w14:textId="173454B8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Zdolności technicznej lub zawodowej:</w:t>
      </w:r>
    </w:p>
    <w:p w14:paraId="293ABCFC" w14:textId="77777777" w:rsidR="00B8393E" w:rsidRPr="00A83648" w:rsidRDefault="00B8393E" w:rsidP="00B8393E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5526A7D6" w14:textId="77777777" w:rsidR="009F40F2" w:rsidRPr="00A83648" w:rsidRDefault="009F40F2" w:rsidP="00E55AF7">
      <w:pPr>
        <w:jc w:val="both"/>
        <w:rPr>
          <w:rFonts w:asciiTheme="majorHAnsi" w:hAnsiTheme="majorHAnsi" w:cstheme="majorHAnsi"/>
          <w:i/>
          <w:iCs/>
          <w:sz w:val="22"/>
          <w:szCs w:val="22"/>
          <w:highlight w:val="lightGray"/>
        </w:rPr>
      </w:pPr>
    </w:p>
    <w:p w14:paraId="160B5AB8" w14:textId="4CDE7F1C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6589F4A4" w14:textId="77777777" w:rsidR="00D31A5C" w:rsidRPr="00D31A5C" w:rsidRDefault="002D00B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308D8">
        <w:rPr>
          <w:rFonts w:asciiTheme="majorHAnsi" w:hAnsiTheme="majorHAnsi" w:cstheme="majorHAnsi"/>
          <w:iCs/>
          <w:sz w:val="22"/>
          <w:szCs w:val="22"/>
        </w:rPr>
        <w:t>za pomocą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7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zamowieniawb</w:t>
      </w:r>
      <w:r w:rsidR="00043E97" w:rsidRPr="00A83648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@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</w:p>
    <w:p w14:paraId="57E26686" w14:textId="248D8DE9" w:rsidR="002D00B9" w:rsidRPr="00A83648" w:rsidRDefault="00FA30B6" w:rsidP="00D31A5C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D31A5C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 xml:space="preserve">Adres skrzynki </w:t>
      </w:r>
      <w:proofErr w:type="spellStart"/>
      <w:r w:rsidRPr="00D31A5C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epuap</w:t>
      </w:r>
      <w:proofErr w:type="spellEnd"/>
      <w:r w:rsidRPr="00D31A5C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 xml:space="preserve"> Zamawiającego:</w:t>
      </w:r>
      <w:r w:rsidRPr="00A308D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2C14FA" w:rsidRPr="00A308D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308D8">
        <w:rPr>
          <w:rFonts w:asciiTheme="majorHAnsi" w:hAnsiTheme="majorHAnsi" w:cstheme="majorHAnsi"/>
          <w:color w:val="212529"/>
          <w:sz w:val="22"/>
          <w:szCs w:val="22"/>
        </w:rPr>
        <w:t>uwedupl</w:t>
      </w:r>
      <w:proofErr w:type="spellEnd"/>
      <w:r w:rsidR="002C14FA" w:rsidRPr="00A308D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308D8">
        <w:rPr>
          <w:rFonts w:asciiTheme="majorHAnsi" w:hAnsiTheme="majorHAnsi" w:cstheme="majorHAnsi"/>
          <w:color w:val="212529"/>
          <w:sz w:val="22"/>
          <w:szCs w:val="22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7F91731C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8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zobowiązanie podmiotu udostępniającego zasoby, o którym mowa w </w:t>
      </w:r>
      <w:hyperlink r:id="rId29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30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1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32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33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podmiotowych </w:t>
      </w: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>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7A3D29F9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517F955E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0F6321F6" w:rsidR="003673CA" w:rsidRPr="00A83648" w:rsidRDefault="0047600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  <w:highlight w:val="yellow"/>
        </w:rPr>
      </w:pPr>
      <w:r>
        <w:rPr>
          <w:rFonts w:asciiTheme="majorHAnsi" w:hAnsiTheme="majorHAnsi" w:cstheme="majorHAnsi"/>
          <w:iCs/>
          <w:sz w:val="22"/>
          <w:szCs w:val="22"/>
          <w:highlight w:val="yellow"/>
        </w:rPr>
        <w:t xml:space="preserve">Anna </w:t>
      </w:r>
      <w:proofErr w:type="spellStart"/>
      <w:r>
        <w:rPr>
          <w:rFonts w:asciiTheme="majorHAnsi" w:hAnsiTheme="majorHAnsi" w:cstheme="majorHAnsi"/>
          <w:iCs/>
          <w:sz w:val="22"/>
          <w:szCs w:val="22"/>
          <w:highlight w:val="yellow"/>
        </w:rPr>
        <w:t>Piusińska</w:t>
      </w:r>
      <w:proofErr w:type="spellEnd"/>
      <w:r w:rsidR="002A39B9" w:rsidRPr="00A83648">
        <w:rPr>
          <w:rFonts w:asciiTheme="majorHAnsi" w:hAnsiTheme="majorHAnsi" w:cstheme="majorHAnsi"/>
          <w:iCs/>
          <w:sz w:val="22"/>
          <w:szCs w:val="22"/>
          <w:highlight w:val="yellow"/>
        </w:rPr>
        <w:t>.</w:t>
      </w:r>
    </w:p>
    <w:p w14:paraId="3C91A4AD" w14:textId="051D79D6" w:rsidR="002A39B9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highlight w:val="yellow"/>
        </w:rPr>
        <w:t xml:space="preserve">Email </w:t>
      </w:r>
      <w:hyperlink r:id="rId34" w:history="1">
        <w:r w:rsidR="00F7762B" w:rsidRPr="00BB3438">
          <w:rPr>
            <w:rStyle w:val="Hipercze"/>
            <w:rFonts w:asciiTheme="majorHAnsi" w:hAnsiTheme="majorHAnsi" w:cstheme="majorHAnsi"/>
            <w:iCs/>
            <w:sz w:val="22"/>
            <w:szCs w:val="22"/>
            <w:highlight w:val="yellow"/>
          </w:rPr>
          <w:t>zamowieniawb@uw.edu.pl</w:t>
        </w:r>
      </w:hyperlink>
    </w:p>
    <w:p w14:paraId="58EC98BC" w14:textId="77777777" w:rsidR="00F7762B" w:rsidRPr="00A83648" w:rsidRDefault="00F7762B" w:rsidP="00F7762B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od poniedziałku do piątku w godzinach </w:t>
      </w:r>
      <w:r>
        <w:rPr>
          <w:rFonts w:asciiTheme="majorHAnsi" w:hAnsiTheme="majorHAnsi" w:cstheme="majorHAnsi"/>
          <w:sz w:val="22"/>
          <w:szCs w:val="22"/>
        </w:rPr>
        <w:t>8:00-15:00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4EA7F44E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38459406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</w:t>
      </w:r>
      <w:r w:rsidRPr="00DC687A">
        <w:rPr>
          <w:rFonts w:asciiTheme="majorHAnsi" w:hAnsiTheme="majorHAnsi" w:cstheme="majorHAnsi"/>
          <w:b/>
          <w:bCs/>
          <w:sz w:val="22"/>
          <w:szCs w:val="22"/>
        </w:rPr>
        <w:t xml:space="preserve">tą upływa </w:t>
      </w:r>
      <w:r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10.04.2023</w:t>
      </w:r>
      <w:r w:rsidR="00890C91"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="00A346CE"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CDD130" w14:textId="627C9D0A" w:rsidR="00A346CE" w:rsidRPr="00DE6AC9" w:rsidRDefault="00DC687A" w:rsidP="00461070">
      <w:pPr>
        <w:pStyle w:val="Nagwek1"/>
        <w:numPr>
          <w:ilvl w:val="0"/>
          <w:numId w:val="1"/>
        </w:numPr>
        <w:ind w:left="284" w:hanging="218"/>
        <w:jc w:val="both"/>
        <w:rPr>
          <w:rFonts w:cstheme="majorHAnsi"/>
          <w:sz w:val="22"/>
          <w:szCs w:val="22"/>
        </w:rPr>
      </w:pPr>
      <w:r w:rsidRPr="00DE6AC9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1C333756" w14:textId="134B39D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2"/>
    <w:p w14:paraId="206D7021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5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FF5CFA" w14:textId="033E42A5" w:rsidR="002C101F" w:rsidRPr="00B8393E" w:rsidRDefault="000C59D5" w:rsidP="000C59D5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treści oferty Wykonawca zobowiązany jest podać</w:t>
      </w:r>
      <w:r w:rsidR="00814AD2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dla każdej z części, w której składa ofertę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88576C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413894A" w14:textId="4856B056" w:rsidR="002C101F" w:rsidRPr="00872A87" w:rsidRDefault="00814AD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enę za realizację przedmiotu zamówienia obliczoną zgodnie z wymaganiami określonymi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17 SWZ z wykorzystaniem kosztorysu określonego we wzorze formularza oferty. Wykonawca zobowiązany jest podać wszystkie ceny jednostkowe wymagane wzorem kosztorysu.</w:t>
      </w:r>
    </w:p>
    <w:p w14:paraId="7DD347D2" w14:textId="08299AE6" w:rsidR="00B8772F" w:rsidRPr="00872A87" w:rsidRDefault="002C101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nazwę, model oraz producenta</w:t>
      </w:r>
      <w:r w:rsidR="004B07D3">
        <w:rPr>
          <w:rFonts w:asciiTheme="majorHAnsi" w:hAnsiTheme="majorHAnsi" w:cstheme="majorHAnsi"/>
          <w:b/>
          <w:bCs/>
          <w:sz w:val="22"/>
          <w:szCs w:val="22"/>
        </w:rPr>
        <w:t xml:space="preserve"> oraz numer katalogowy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każdego z oferowanych towarów</w:t>
      </w:r>
      <w:r w:rsidR="00266335" w:rsidRPr="00872A8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Powyższe dane stanowią treść oferty i nie podlegają uzupełnieniu na zasadach określonych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5 SWZ.</w:t>
      </w:r>
    </w:p>
    <w:p w14:paraId="78FCE9A8" w14:textId="7CA798CA" w:rsidR="007C3C6C" w:rsidRPr="00872A87" w:rsidRDefault="007C3C6C" w:rsidP="007C3C6C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termin </w:t>
      </w:r>
      <w:r w:rsidR="00E46E2F">
        <w:rPr>
          <w:rFonts w:asciiTheme="majorHAnsi" w:hAnsiTheme="majorHAnsi" w:cstheme="majorHAnsi"/>
          <w:b/>
          <w:bCs/>
          <w:sz w:val="22"/>
          <w:szCs w:val="22"/>
        </w:rPr>
        <w:t>dostawy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>;</w:t>
      </w:r>
    </w:p>
    <w:p w14:paraId="3F287B1A" w14:textId="5B47DFF0" w:rsidR="00B8393E" w:rsidRPr="00872A87" w:rsidRDefault="00B8393E" w:rsidP="00B839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66D094" w14:textId="6FB98A21" w:rsidR="00B8393E" w:rsidRPr="00872A87" w:rsidRDefault="00B8393E" w:rsidP="00872A87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Do oferty należy dołączyć przedmiotowe środki dowodowe, o których mowa w §5 SWZ.</w:t>
      </w:r>
    </w:p>
    <w:p w14:paraId="7B83EA3A" w14:textId="26171E76" w:rsidR="00285A3D" w:rsidRPr="00A83648" w:rsidRDefault="00285A3D" w:rsidP="00285A3D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6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0B6AFC6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49775656" w:rsidR="009F40F2" w:rsidRPr="00EE2A56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E2A56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dnia </w:t>
      </w:r>
      <w:r w:rsid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11.01.2023</w:t>
      </w:r>
      <w:r w:rsidR="0032712E" w:rsidRPr="00EE2A56">
        <w:rPr>
          <w:rFonts w:asciiTheme="majorHAnsi" w:hAnsiTheme="majorHAnsi" w:cstheme="majorHAnsi"/>
          <w:b/>
          <w:bCs/>
          <w:sz w:val="22"/>
          <w:szCs w:val="22"/>
        </w:rPr>
        <w:t xml:space="preserve"> r. </w:t>
      </w:r>
      <w:r w:rsidRPr="00EE2A56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godzinie </w:t>
      </w:r>
      <w:r w:rsid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9:00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68ABB6A9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TERMIN O</w:t>
      </w:r>
      <w:r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WARCIA OFERT</w:t>
      </w:r>
    </w:p>
    <w:p w14:paraId="713B0600" w14:textId="77777777" w:rsidR="007B642A" w:rsidRPr="007B642A" w:rsidRDefault="009F40F2" w:rsidP="00F20516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7B642A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ofert w dniu </w:t>
      </w:r>
      <w:r w:rsidR="007B642A" w:rsidRP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11.01.</w:t>
      </w:r>
      <w:r w:rsidR="00F7762B" w:rsidRP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2022</w:t>
      </w:r>
      <w:r w:rsidR="0032712E" w:rsidRPr="007B642A">
        <w:rPr>
          <w:rFonts w:asciiTheme="majorHAnsi" w:hAnsiTheme="majorHAnsi" w:cstheme="majorHAnsi"/>
          <w:b/>
          <w:bCs/>
          <w:sz w:val="22"/>
          <w:szCs w:val="22"/>
        </w:rPr>
        <w:t xml:space="preserve"> r. o </w:t>
      </w:r>
      <w:r w:rsidR="0032712E" w:rsidRP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godzinie </w:t>
      </w:r>
      <w:r w:rsidR="007B642A" w:rsidRPr="007B642A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2653C628" w14:textId="6B31D165" w:rsidR="009F40F2" w:rsidRPr="007B642A" w:rsidRDefault="009F40F2" w:rsidP="00F20516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B642A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7B642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B642A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1E8B5F64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</w:t>
      </w:r>
    </w:p>
    <w:p w14:paraId="1A2318E6" w14:textId="63356F20" w:rsidR="00FC343F" w:rsidRPr="00A83648" w:rsidRDefault="009F40F2" w:rsidP="003101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</w:t>
      </w:r>
      <w:r w:rsidR="006809A9">
        <w:rPr>
          <w:rFonts w:asciiTheme="majorHAnsi" w:hAnsiTheme="majorHAnsi" w:cstheme="majorHAnsi"/>
          <w:sz w:val="22"/>
          <w:szCs w:val="22"/>
        </w:rPr>
        <w:t> </w:t>
      </w:r>
      <w:r w:rsidR="00507B16" w:rsidRPr="00A83648">
        <w:rPr>
          <w:rFonts w:asciiTheme="majorHAnsi" w:hAnsiTheme="majorHAnsi" w:cstheme="majorHAnsi"/>
          <w:sz w:val="22"/>
          <w:szCs w:val="22"/>
        </w:rPr>
        <w:t>wymaganiami określonymi w Formularzu oferty.</w:t>
      </w:r>
    </w:p>
    <w:p w14:paraId="0D20FB59" w14:textId="3D1CC32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Podana cena musi obejmować wszystkie koszty realizacji prac z uwzględnieniem wszystkich opłat i</w:t>
      </w:r>
      <w:r w:rsidR="006809A9">
        <w:rPr>
          <w:rFonts w:asciiTheme="majorHAnsi" w:hAnsiTheme="majorHAnsi" w:cstheme="majorHAnsi"/>
          <w:sz w:val="22"/>
          <w:szCs w:val="22"/>
        </w:rPr>
        <w:t> </w:t>
      </w:r>
      <w:r w:rsidRPr="00A83648">
        <w:rPr>
          <w:rFonts w:asciiTheme="majorHAnsi" w:hAnsiTheme="majorHAnsi" w:cstheme="majorHAnsi"/>
          <w:sz w:val="22"/>
          <w:szCs w:val="22"/>
        </w:rPr>
        <w:t>podatków (także od towarów i usług). Cena musi być podana w złotych polskich.</w:t>
      </w:r>
    </w:p>
    <w:p w14:paraId="45573D27" w14:textId="5585978B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wymienione w ust. 2 Formularza ofertowego 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D1E75F" w14:textId="01138BD0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obowiązywania umowy i nie będą podlegały zmianom z zastrzeżeniem przypadków wskazanych w umowie.</w:t>
      </w:r>
    </w:p>
    <w:p w14:paraId="15A5F810" w14:textId="65E755A5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w ust. 2 Formularza</w:t>
      </w:r>
      <w:r w:rsidRPr="00A83648">
        <w:rPr>
          <w:rFonts w:asciiTheme="majorHAnsi" w:hAnsiTheme="majorHAnsi" w:cstheme="majorHAnsi"/>
          <w:sz w:val="22"/>
          <w:szCs w:val="22"/>
        </w:rPr>
        <w:t xml:space="preserve"> ofert</w:t>
      </w:r>
      <w:r w:rsidR="006812B7" w:rsidRPr="00A83648">
        <w:rPr>
          <w:rFonts w:asciiTheme="majorHAnsi" w:hAnsiTheme="majorHAnsi" w:cstheme="majorHAnsi"/>
          <w:sz w:val="22"/>
          <w:szCs w:val="22"/>
        </w:rPr>
        <w:t>owego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0B50DA5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KRYTERIÓW OCENY OFERT WRAZ Z PODANIEM WAG TYCH KRYTERIÓW I SPOSOBU OCENY OFERT</w:t>
      </w:r>
    </w:p>
    <w:p w14:paraId="29BE4D6C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ACE4EE" w14:textId="0494BBA5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0D36DF2F" w14:textId="0F648245" w:rsidR="00275571" w:rsidRPr="009E1770" w:rsidRDefault="00275571" w:rsidP="009E177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31013E" w:rsidRPr="00A83648" w14:paraId="779329FC" w14:textId="77777777" w:rsidTr="0031013E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DE03F19" w14:textId="77777777" w:rsidR="0031013E" w:rsidRPr="00A83648" w:rsidRDefault="0031013E" w:rsidP="0031013E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EE162AC" w14:textId="77777777" w:rsidR="0031013E" w:rsidRPr="00A83648" w:rsidRDefault="0031013E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31013E" w:rsidRPr="00A83648" w14:paraId="12E6EB06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57372E1" w14:textId="461F01B3" w:rsidR="0031013E" w:rsidRPr="00A83648" w:rsidRDefault="0031013E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90AEB04" w14:textId="733115BF" w:rsidR="0031013E" w:rsidRPr="00A83648" w:rsidRDefault="0088576C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88576C" w:rsidRPr="00A83648" w14:paraId="6EB7334F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FDC7D3" w14:textId="182B1C32" w:rsidR="0088576C" w:rsidRPr="00A83648" w:rsidRDefault="00EF2F31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Termin</w:t>
            </w:r>
            <w:r w:rsidR="0088576C"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31A5C">
              <w:rPr>
                <w:rFonts w:asciiTheme="majorHAnsi" w:hAnsiTheme="majorHAnsi" w:cstheme="majorHAnsi"/>
                <w:b/>
                <w:sz w:val="22"/>
                <w:szCs w:val="22"/>
              </w:rPr>
              <w:t>gwarancji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CE7ABD0" w14:textId="17AB532B" w:rsidR="0088576C" w:rsidRPr="00A83648" w:rsidRDefault="004024A9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40</w:t>
            </w:r>
          </w:p>
        </w:tc>
      </w:tr>
    </w:tbl>
    <w:p w14:paraId="3F116BE4" w14:textId="00B0E01B" w:rsidR="009F40F2" w:rsidRPr="00872A87" w:rsidRDefault="009F40F2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 xml:space="preserve">) otrzyma oferta zawierająca najniższą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całkowitą </w:t>
      </w:r>
      <w:r w:rsidRPr="00872A87">
        <w:rPr>
          <w:rFonts w:asciiTheme="majorHAnsi" w:hAnsiTheme="majorHAnsi" w:cstheme="majorHAnsi"/>
          <w:sz w:val="22"/>
          <w:szCs w:val="22"/>
        </w:rPr>
        <w:t xml:space="preserve">cenę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ryczałtową </w:t>
      </w:r>
      <w:r w:rsidRPr="00872A87">
        <w:rPr>
          <w:rFonts w:asciiTheme="majorHAnsi" w:hAnsiTheme="majorHAnsi" w:cstheme="majorHAnsi"/>
          <w:sz w:val="22"/>
          <w:szCs w:val="22"/>
        </w:rPr>
        <w:t>brutto, a każda następna odpowiednio zgodnie ze wzorem:</w:t>
      </w:r>
    </w:p>
    <w:p w14:paraId="1A64D489" w14:textId="77777777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93A42EB" w14:textId="58385C26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Liczba punktów oferty</w:t>
      </w:r>
      <w:r w:rsidR="00BA54A4" w:rsidRPr="00872A87">
        <w:rPr>
          <w:rFonts w:asciiTheme="majorHAnsi" w:hAnsiTheme="majorHAnsi" w:cstheme="majorHAnsi"/>
          <w:sz w:val="22"/>
          <w:szCs w:val="22"/>
        </w:rPr>
        <w:t xml:space="preserve"> w kryterium cena</w:t>
      </w:r>
      <w:r w:rsidRPr="00872A87">
        <w:rPr>
          <w:rFonts w:asciiTheme="majorHAnsi" w:hAnsiTheme="majorHAnsi" w:cstheme="majorHAnsi"/>
          <w:sz w:val="22"/>
          <w:szCs w:val="22"/>
        </w:rPr>
        <w:t xml:space="preserve"> = (cena oferty najniżej skalkulowanej x 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>): cena oferty ocenianej.</w:t>
      </w:r>
    </w:p>
    <w:p w14:paraId="29BD3A4E" w14:textId="5B729E6C" w:rsidR="00D8064A" w:rsidRPr="00872A87" w:rsidRDefault="00D8064A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A8A3893" w14:textId="5AABC4A1" w:rsidR="006B0FB9" w:rsidRPr="00D31A5C" w:rsidRDefault="00C91460" w:rsidP="00D31A5C">
      <w:pPr>
        <w:pStyle w:val="Akapitzlist"/>
        <w:numPr>
          <w:ilvl w:val="2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b/>
          <w:bCs/>
          <w:sz w:val="21"/>
          <w:szCs w:val="21"/>
        </w:rPr>
        <w:t>W kryterium „</w:t>
      </w:r>
      <w:r w:rsidR="00D31A5C">
        <w:rPr>
          <w:rFonts w:ascii="Calibri Light" w:hAnsi="Calibri Light" w:cs="Calibri Light"/>
          <w:b/>
          <w:sz w:val="21"/>
          <w:szCs w:val="21"/>
        </w:rPr>
        <w:t>Okres gwarancji</w:t>
      </w:r>
      <w:r w:rsidRPr="00C91460">
        <w:rPr>
          <w:rFonts w:ascii="Calibri Light" w:hAnsi="Calibri Light" w:cs="Calibri Light"/>
          <w:b/>
          <w:sz w:val="21"/>
          <w:szCs w:val="21"/>
        </w:rPr>
        <w:t>” /</w:t>
      </w:r>
      <w:r w:rsidR="00D31A5C">
        <w:rPr>
          <w:rFonts w:ascii="Calibri Light" w:hAnsi="Calibri Light" w:cs="Calibri Light"/>
          <w:b/>
          <w:sz w:val="21"/>
          <w:szCs w:val="21"/>
        </w:rPr>
        <w:t>G</w:t>
      </w:r>
      <w:r w:rsidRPr="00C91460">
        <w:rPr>
          <w:rFonts w:ascii="Calibri Light" w:hAnsi="Calibri Light" w:cs="Calibri Light"/>
          <w:b/>
          <w:sz w:val="21"/>
          <w:szCs w:val="21"/>
        </w:rPr>
        <w:t xml:space="preserve">/ </w:t>
      </w:r>
      <w:r w:rsidRPr="00C91460">
        <w:rPr>
          <w:rFonts w:ascii="Calibri Light" w:hAnsi="Calibri Light" w:cs="Calibri Light"/>
          <w:sz w:val="21"/>
          <w:szCs w:val="21"/>
        </w:rPr>
        <w:t xml:space="preserve">- </w:t>
      </w:r>
      <w:r w:rsidR="00D31A5C">
        <w:rPr>
          <w:rFonts w:ascii="Calibri Light" w:hAnsi="Calibri Light" w:cs="Calibri Light"/>
          <w:sz w:val="21"/>
          <w:szCs w:val="21"/>
        </w:rPr>
        <w:t>ocena zostanie dokonana w ten sposób, iż Wykonawca otrzyma 20 pkt za każde dodatkowe 12 miesięcy gwarancji powyżej wymaganych dla poszczególnych części, wykonawca, który nie zaoferuje wydłużenia terminu gwarancji otrzyma 0 (zero) pkt, a więc:</w:t>
      </w:r>
    </w:p>
    <w:p w14:paraId="0AA34C27" w14:textId="78A4D144" w:rsidR="00D31A5C" w:rsidRDefault="00D31A5C" w:rsidP="00A308D8">
      <w:pPr>
        <w:pStyle w:val="Akapitzlist"/>
        <w:ind w:left="1728"/>
        <w:jc w:val="both"/>
        <w:rPr>
          <w:rFonts w:ascii="Calibri Light" w:hAnsi="Calibri Light" w:cs="Calibri Light"/>
          <w:sz w:val="22"/>
          <w:szCs w:val="22"/>
        </w:rPr>
      </w:pPr>
    </w:p>
    <w:p w14:paraId="65FD0806" w14:textId="77AE58BA" w:rsidR="00A308D8" w:rsidRDefault="00A308D8" w:rsidP="00EF2F31">
      <w:pPr>
        <w:pStyle w:val="Akapitzlist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308D8">
        <w:rPr>
          <w:rFonts w:ascii="Calibri Light" w:hAnsi="Calibri Light" w:cs="Calibri Light"/>
          <w:b/>
          <w:bCs/>
          <w:sz w:val="22"/>
          <w:szCs w:val="22"/>
        </w:rPr>
        <w:t xml:space="preserve">Dla części 1, 2, 3 i 6 </w:t>
      </w:r>
    </w:p>
    <w:p w14:paraId="768ECD34" w14:textId="44F26C71" w:rsidR="00A308D8" w:rsidRPr="00EF2F31" w:rsidRDefault="00A308D8" w:rsidP="00A308D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 w:rsidR="00EF2F31" w:rsidRPr="00EF2F31">
        <w:rPr>
          <w:rFonts w:ascii="Calibri Light" w:hAnsi="Calibri Light" w:cs="Calibri Light"/>
          <w:sz w:val="22"/>
          <w:szCs w:val="22"/>
        </w:rPr>
        <w:t>1.1.a.1. Zaoferowany termin gwarancji – 48 miesięcy – 20 pkt</w:t>
      </w:r>
    </w:p>
    <w:p w14:paraId="23370C16" w14:textId="229949E9" w:rsidR="00EF2F31" w:rsidRPr="00EF2F31" w:rsidRDefault="00EF2F31" w:rsidP="00EF2F31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EF2F31">
        <w:rPr>
          <w:rFonts w:ascii="Calibri Light" w:hAnsi="Calibri Light" w:cs="Calibri Light"/>
          <w:sz w:val="22"/>
          <w:szCs w:val="22"/>
        </w:rPr>
        <w:t>1.1.a.2.Zaoferowany termin gwarancji – 60 miesięcy – 40 pkt</w:t>
      </w:r>
    </w:p>
    <w:p w14:paraId="76671387" w14:textId="6B650A0B" w:rsidR="00A308D8" w:rsidRDefault="00A308D8" w:rsidP="00A308D8">
      <w:pPr>
        <w:pStyle w:val="Akapitzlist"/>
        <w:ind w:left="172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E3F2655" w14:textId="23AE888B" w:rsidR="00A308D8" w:rsidRDefault="00EF2F31" w:rsidP="00EF2F31">
      <w:pPr>
        <w:pStyle w:val="Akapitzlist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308D8">
        <w:rPr>
          <w:rFonts w:ascii="Calibri Light" w:hAnsi="Calibri Light" w:cs="Calibri Light"/>
          <w:b/>
          <w:bCs/>
          <w:sz w:val="22"/>
          <w:szCs w:val="22"/>
        </w:rPr>
        <w:lastRenderedPageBreak/>
        <w:t>Dla części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4</w:t>
      </w:r>
    </w:p>
    <w:p w14:paraId="238B652B" w14:textId="5F04289D" w:rsidR="00EF2F31" w:rsidRPr="00EF2F31" w:rsidRDefault="00EF2F31" w:rsidP="00EF2F31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EF2F31">
        <w:rPr>
          <w:rFonts w:ascii="Calibri Light" w:hAnsi="Calibri Light" w:cs="Calibri Light"/>
          <w:sz w:val="22"/>
          <w:szCs w:val="22"/>
        </w:rPr>
        <w:t>1.1.b.1. Zaoferowany termin gwarancji – 36 miesięcy – 20 pkt</w:t>
      </w:r>
    </w:p>
    <w:p w14:paraId="35B4E7EE" w14:textId="2C159F73" w:rsidR="00EF2F31" w:rsidRPr="00EF2F31" w:rsidRDefault="00EF2F31" w:rsidP="00EF2F31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EF2F31">
        <w:rPr>
          <w:rFonts w:ascii="Calibri Light" w:hAnsi="Calibri Light" w:cs="Calibri Light"/>
          <w:sz w:val="22"/>
          <w:szCs w:val="22"/>
        </w:rPr>
        <w:t>1.1.b.2.Zaoferowany termin gwarancji – 48 miesięcy – 40 pkt</w:t>
      </w:r>
    </w:p>
    <w:p w14:paraId="79B90972" w14:textId="2623892C" w:rsidR="00EF2F31" w:rsidRDefault="00EF2F31" w:rsidP="00A308D8">
      <w:pPr>
        <w:pStyle w:val="Akapitzlist"/>
        <w:ind w:left="172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C522CDC" w14:textId="77777777" w:rsidR="00EF2F31" w:rsidRDefault="00EF2F31" w:rsidP="00A308D8">
      <w:pPr>
        <w:pStyle w:val="Akapitzlist"/>
        <w:ind w:left="172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E7F6F5A" w14:textId="78326FF9" w:rsidR="00EF2F31" w:rsidRDefault="00EF2F31" w:rsidP="00EF2F31">
      <w:pPr>
        <w:pStyle w:val="Akapitzlist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308D8">
        <w:rPr>
          <w:rFonts w:ascii="Calibri Light" w:hAnsi="Calibri Light" w:cs="Calibri Light"/>
          <w:b/>
          <w:bCs/>
          <w:sz w:val="22"/>
          <w:szCs w:val="22"/>
        </w:rPr>
        <w:t>Dla części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5, 7, 8 i 9</w:t>
      </w:r>
    </w:p>
    <w:p w14:paraId="5D86826C" w14:textId="1FFFAA09" w:rsidR="00EF2F31" w:rsidRPr="00EF2F31" w:rsidRDefault="00EF2F31" w:rsidP="00EF2F31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EF2F31">
        <w:rPr>
          <w:rFonts w:ascii="Calibri Light" w:hAnsi="Calibri Light" w:cs="Calibri Light"/>
          <w:sz w:val="22"/>
          <w:szCs w:val="22"/>
        </w:rPr>
        <w:t>1.1.c.1. Zaoferowany termin gwarancji – 24 miesiące – 20 pkt</w:t>
      </w:r>
    </w:p>
    <w:p w14:paraId="0C4641CE" w14:textId="2F62ABF8" w:rsidR="00EF2F31" w:rsidRPr="00EF2F31" w:rsidRDefault="00EF2F31" w:rsidP="00EF2F31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EF2F31">
        <w:rPr>
          <w:rFonts w:ascii="Calibri Light" w:hAnsi="Calibri Light" w:cs="Calibri Light"/>
          <w:sz w:val="22"/>
          <w:szCs w:val="22"/>
        </w:rPr>
        <w:t>1.1.c.2.Zaoferowany termin gwarancji – 36 miesięcy – 40 pkt</w:t>
      </w:r>
    </w:p>
    <w:p w14:paraId="41FE8D7B" w14:textId="77777777" w:rsidR="00EF2F31" w:rsidRPr="00A308D8" w:rsidRDefault="00EF2F31" w:rsidP="00A308D8">
      <w:pPr>
        <w:pStyle w:val="Akapitzlist"/>
        <w:ind w:left="172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6DE1298" w14:textId="77777777" w:rsidR="00A308D8" w:rsidRPr="00C91460" w:rsidRDefault="00A308D8" w:rsidP="00611D13">
      <w:pPr>
        <w:pStyle w:val="Akapitzlist"/>
        <w:ind w:left="1224"/>
        <w:jc w:val="both"/>
        <w:rPr>
          <w:rFonts w:ascii="Calibri Light" w:hAnsi="Calibri Light" w:cs="Calibri Light"/>
          <w:sz w:val="22"/>
          <w:szCs w:val="22"/>
        </w:rPr>
      </w:pPr>
    </w:p>
    <w:p w14:paraId="5A83EFBE" w14:textId="330BEA34" w:rsidR="00A834D6" w:rsidRPr="00C91460" w:rsidRDefault="0031013E" w:rsidP="006F36E5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t>O</w:t>
      </w:r>
      <w:r w:rsidR="0034683A" w:rsidRPr="00C91460" w:rsidDel="00AF078D">
        <w:rPr>
          <w:rFonts w:ascii="Calibri Light" w:hAnsi="Calibri Light" w:cs="Calibri Light"/>
          <w:sz w:val="22"/>
          <w:szCs w:val="22"/>
        </w:rPr>
        <w:t>cena będzie dokonana z dokładnością do dwóch miejsc po przecinku.</w:t>
      </w:r>
    </w:p>
    <w:p w14:paraId="6B248ED3" w14:textId="309CACA3" w:rsidR="00B07B7B" w:rsidRPr="00C91460" w:rsidRDefault="00B07B7B" w:rsidP="006F36E5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t>Suma punktów uzyskana w</w:t>
      </w:r>
      <w:r w:rsidR="004216CF" w:rsidRPr="00C91460">
        <w:rPr>
          <w:rFonts w:ascii="Calibri Light" w:hAnsi="Calibri Light" w:cs="Calibri Light"/>
          <w:sz w:val="22"/>
          <w:szCs w:val="22"/>
        </w:rPr>
        <w:t>e wszystkich</w:t>
      </w:r>
      <w:r w:rsidRPr="00C91460">
        <w:rPr>
          <w:rFonts w:ascii="Calibri Light" w:hAnsi="Calibri Light" w:cs="Calibri Light"/>
          <w:sz w:val="22"/>
          <w:szCs w:val="22"/>
        </w:rPr>
        <w:t xml:space="preserve"> kryteriach łącznie stanowić będzie wynik oceny</w:t>
      </w:r>
      <w:r w:rsidR="006621F6">
        <w:rPr>
          <w:rFonts w:ascii="Calibri Light" w:hAnsi="Calibri Light" w:cs="Calibri Light"/>
          <w:sz w:val="22"/>
          <w:szCs w:val="22"/>
        </w:rPr>
        <w:t>.</w:t>
      </w:r>
      <w:r w:rsidRPr="00C91460">
        <w:rPr>
          <w:rFonts w:ascii="Calibri Light" w:hAnsi="Calibri Light" w:cs="Calibri Light"/>
          <w:sz w:val="22"/>
          <w:szCs w:val="22"/>
        </w:rPr>
        <w:t xml:space="preserve"> </w:t>
      </w:r>
    </w:p>
    <w:p w14:paraId="24B4E2E2" w14:textId="5687965E" w:rsidR="00B07B7B" w:rsidRPr="00C91460" w:rsidRDefault="00B07B7B" w:rsidP="00B07B7B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 w:rsidRPr="00C91460">
        <w:rPr>
          <w:rFonts w:ascii="Calibri Light" w:hAnsi="Calibri Light" w:cs="Calibri Light"/>
          <w:sz w:val="22"/>
          <w:szCs w:val="22"/>
        </w:rPr>
        <w:t>e</w:t>
      </w:r>
      <w:r w:rsidRPr="00C91460">
        <w:rPr>
          <w:rFonts w:ascii="Calibri Light" w:hAnsi="Calibri Light" w:cs="Calibri Light"/>
          <w:sz w:val="22"/>
          <w:szCs w:val="22"/>
        </w:rPr>
        <w:t xml:space="preserve"> </w:t>
      </w:r>
      <w:r w:rsidR="004216CF" w:rsidRPr="00C91460">
        <w:rPr>
          <w:rFonts w:ascii="Calibri Light" w:hAnsi="Calibri Light" w:cs="Calibri Light"/>
          <w:sz w:val="22"/>
          <w:szCs w:val="22"/>
        </w:rPr>
        <w:t xml:space="preserve">wszystkich </w:t>
      </w:r>
      <w:r w:rsidRPr="00C91460">
        <w:rPr>
          <w:rFonts w:ascii="Calibri Light" w:hAnsi="Calibri Light" w:cs="Calibri Light"/>
          <w:sz w:val="22"/>
          <w:szCs w:val="22"/>
        </w:rPr>
        <w:t>kryteriach.</w:t>
      </w:r>
    </w:p>
    <w:p w14:paraId="7A40A08C" w14:textId="4A70B1DF" w:rsidR="00B07B7B" w:rsidRPr="00C91460" w:rsidRDefault="00B07B7B" w:rsidP="00B525A8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D6CE959" w14:textId="0F880AA8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</w:t>
      </w:r>
    </w:p>
    <w:p w14:paraId="4640C7FC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597639E4" w14:textId="21FA521F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2234E7F" w14:textId="7F578CDB" w:rsidR="009F40F2" w:rsidRPr="00F7762B" w:rsidRDefault="00DC687A" w:rsidP="00A81714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</w:t>
      </w:r>
    </w:p>
    <w:p w14:paraId="0F871A03" w14:textId="1059B17F" w:rsidR="009F40F2" w:rsidRPr="00A83648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nie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wymaga wniesienia zabezpieczenia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należytego wykonania umowy.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34683A" w:rsidRPr="00A83648">
        <w:rPr>
          <w:rFonts w:asciiTheme="majorHAnsi" w:hAnsiTheme="majorHAnsi" w:cstheme="majorHAnsi"/>
          <w:sz w:val="22"/>
          <w:szCs w:val="22"/>
        </w:rPr>
        <w:t>5</w:t>
      </w:r>
      <w:r w:rsidRPr="00A83648">
        <w:rPr>
          <w:rFonts w:asciiTheme="majorHAnsi" w:hAnsiTheme="majorHAnsi" w:cstheme="majorHAnsi"/>
          <w:sz w:val="22"/>
          <w:szCs w:val="22"/>
        </w:rPr>
        <w:t xml:space="preserve">%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całkowitej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ceny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ryczałtowej brutto </w:t>
      </w:r>
      <w:r w:rsidRPr="00A83648">
        <w:rPr>
          <w:rFonts w:asciiTheme="majorHAnsi" w:hAnsiTheme="majorHAnsi" w:cstheme="majorHAnsi"/>
          <w:sz w:val="22"/>
          <w:szCs w:val="22"/>
        </w:rPr>
        <w:t xml:space="preserve">oferty. </w:t>
      </w:r>
    </w:p>
    <w:p w14:paraId="26227A7F" w14:textId="2DBD3A12" w:rsidR="009F40F2" w:rsidRPr="00A83648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FDA6D1" w14:textId="3E4CD487" w:rsidR="0034683A" w:rsidRPr="00F7762B" w:rsidRDefault="009F40F2" w:rsidP="00DB0DF9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RODO</w:t>
      </w: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37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78 ust. 1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w przepisach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60CABC65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58081984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567D9310" w14:textId="51688A15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C5C31B8" w:rsidR="00F21CA7" w:rsidRPr="00DC687A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który dostępny jest pod adresem: </w:t>
      </w:r>
      <w:r w:rsidRPr="00DC687A">
        <w:rPr>
          <w:rFonts w:asciiTheme="majorHAnsi" w:hAnsiTheme="majorHAnsi" w:cstheme="majorHAnsi"/>
          <w:sz w:val="22"/>
          <w:szCs w:val="22"/>
        </w:rPr>
        <w:t>https:/</w:t>
      </w:r>
      <w:hyperlink r:id="rId38" w:history="1">
        <w:r w:rsidR="006B0FB9" w:rsidRPr="00DC687A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/miniportal.u</w:t>
        </w:r>
      </w:hyperlink>
      <w:r w:rsidRPr="00DC687A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DC687A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DC687A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Wykonawca posiadający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54070C51" w:rsidR="00F21CA7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7A436D84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/</w:t>
      </w:r>
      <w:proofErr w:type="spellStart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uwedupl</w:t>
      </w:r>
      <w:proofErr w:type="spellEnd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/</w:t>
      </w:r>
      <w:proofErr w:type="spellStart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formularzu oferty Wykonawca zobowiązany jest podać adres skrzynki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0757846E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2586153E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7F272C7F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20E603D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4A8C61FA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128FDA24" w:rsidR="00593860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3B05498" w14:textId="77777777" w:rsidR="00DE6AC9" w:rsidRPr="00A83648" w:rsidRDefault="00DE6AC9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8A1A531" w14:textId="4687512D" w:rsidR="00B47EDE" w:rsidRPr="00A83648" w:rsidRDefault="00DC687A" w:rsidP="00995D6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ZAŁĄCZNIKI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012648FA" w14:textId="05463991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1a do SWZ dla części </w:t>
      </w:r>
      <w:r w:rsidR="00D649CC">
        <w:rPr>
          <w:rFonts w:asciiTheme="majorHAnsi" w:hAnsiTheme="majorHAnsi" w:cstheme="majorHAnsi"/>
          <w:sz w:val="22"/>
          <w:szCs w:val="22"/>
        </w:rPr>
        <w:t>1</w:t>
      </w:r>
    </w:p>
    <w:p w14:paraId="34CA616F" w14:textId="49CB6F1B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1b do SWZ dla części </w:t>
      </w:r>
      <w:r w:rsidR="00D649CC">
        <w:rPr>
          <w:rFonts w:asciiTheme="majorHAnsi" w:hAnsiTheme="majorHAnsi" w:cstheme="majorHAnsi"/>
          <w:sz w:val="22"/>
          <w:szCs w:val="22"/>
        </w:rPr>
        <w:t>2</w:t>
      </w:r>
    </w:p>
    <w:p w14:paraId="5308A528" w14:textId="331317E5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1c do SWZ dla części </w:t>
      </w:r>
      <w:r w:rsidR="00D649CC">
        <w:rPr>
          <w:rFonts w:asciiTheme="majorHAnsi" w:hAnsiTheme="majorHAnsi" w:cstheme="majorHAnsi"/>
          <w:sz w:val="22"/>
          <w:szCs w:val="22"/>
        </w:rPr>
        <w:t>3</w:t>
      </w:r>
    </w:p>
    <w:p w14:paraId="1584E201" w14:textId="5575C9B5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1d do SWZ dla części </w:t>
      </w:r>
      <w:r w:rsidR="00D649CC">
        <w:rPr>
          <w:rFonts w:asciiTheme="majorHAnsi" w:hAnsiTheme="majorHAnsi" w:cstheme="majorHAnsi"/>
          <w:sz w:val="22"/>
          <w:szCs w:val="22"/>
        </w:rPr>
        <w:t>4</w:t>
      </w:r>
    </w:p>
    <w:p w14:paraId="6E986D87" w14:textId="6ECF2FC2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1e do SWZ dla części </w:t>
      </w:r>
      <w:r w:rsidR="00D649CC">
        <w:rPr>
          <w:rFonts w:asciiTheme="majorHAnsi" w:hAnsiTheme="majorHAnsi" w:cstheme="majorHAnsi"/>
          <w:sz w:val="22"/>
          <w:szCs w:val="22"/>
        </w:rPr>
        <w:t>5</w:t>
      </w:r>
    </w:p>
    <w:p w14:paraId="4C8AEB08" w14:textId="63927EB4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1f do SWZ dla części </w:t>
      </w:r>
      <w:r w:rsidR="00D649CC">
        <w:rPr>
          <w:rFonts w:asciiTheme="majorHAnsi" w:hAnsiTheme="majorHAnsi" w:cstheme="majorHAnsi"/>
          <w:sz w:val="22"/>
          <w:szCs w:val="22"/>
        </w:rPr>
        <w:t>6</w:t>
      </w:r>
    </w:p>
    <w:p w14:paraId="573193A3" w14:textId="3C42D791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1g do SWZ dla części </w:t>
      </w:r>
      <w:r w:rsidR="00D649CC">
        <w:rPr>
          <w:rFonts w:asciiTheme="majorHAnsi" w:hAnsiTheme="majorHAnsi" w:cstheme="majorHAnsi"/>
          <w:sz w:val="22"/>
          <w:szCs w:val="22"/>
        </w:rPr>
        <w:t>7</w:t>
      </w:r>
    </w:p>
    <w:p w14:paraId="5C0B9061" w14:textId="06DAA0B4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8</w:t>
      </w:r>
    </w:p>
    <w:p w14:paraId="42AED1CC" w14:textId="3D139774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3EB2F9E6" w14:textId="77777777" w:rsidR="009E1770" w:rsidRPr="00D649CC" w:rsidRDefault="009E1770" w:rsidP="00D649CC">
      <w:pPr>
        <w:pStyle w:val="Akapitzlist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5C7707C7" w14:textId="6A2124FE" w:rsidR="009156F1" w:rsidRPr="00A83648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Pr="001F4634" w:rsidRDefault="005E244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4634">
        <w:rPr>
          <w:rFonts w:asciiTheme="majorHAnsi" w:hAnsiTheme="majorHAnsi" w:cstheme="majorHAnsi"/>
          <w:b/>
          <w:bCs/>
          <w:sz w:val="22"/>
          <w:szCs w:val="22"/>
        </w:rPr>
        <w:t>Wzór oświadczenia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323C3F9A" w14:textId="518ABBFE" w:rsidR="00492A9A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6ED873E2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</w:p>
    <w:p w14:paraId="3ADE3175" w14:textId="6E67143E" w:rsidR="00492A9A" w:rsidRPr="001F4634" w:rsidRDefault="00152087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4634">
        <w:rPr>
          <w:rFonts w:asciiTheme="majorHAnsi" w:hAnsiTheme="majorHAnsi" w:cstheme="majorHAnsi"/>
          <w:b/>
          <w:bCs/>
          <w:sz w:val="22"/>
          <w:szCs w:val="22"/>
        </w:rPr>
        <w:t>Wzór f</w:t>
      </w:r>
      <w:r w:rsidR="00492A9A" w:rsidRPr="001F4634">
        <w:rPr>
          <w:rFonts w:asciiTheme="majorHAnsi" w:hAnsiTheme="majorHAnsi" w:cstheme="majorHAnsi"/>
          <w:b/>
          <w:bCs/>
          <w:sz w:val="22"/>
          <w:szCs w:val="22"/>
        </w:rPr>
        <w:t>ormularz</w:t>
      </w:r>
      <w:r w:rsidR="00C1695F" w:rsidRPr="001F4634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492A9A" w:rsidRPr="001F4634">
        <w:rPr>
          <w:rFonts w:asciiTheme="majorHAnsi" w:hAnsiTheme="majorHAnsi" w:cstheme="majorHAnsi"/>
          <w:b/>
          <w:bCs/>
          <w:sz w:val="22"/>
          <w:szCs w:val="22"/>
        </w:rPr>
        <w:t xml:space="preserve"> oferty</w:t>
      </w:r>
      <w:r w:rsidR="00460E64" w:rsidRPr="001F46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B0FB9" w:rsidRPr="001F463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DC687A" w:rsidRPr="001F46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60E64" w:rsidRPr="001F4634">
        <w:rPr>
          <w:rFonts w:asciiTheme="majorHAnsi" w:hAnsiTheme="majorHAnsi" w:cstheme="majorHAnsi"/>
          <w:b/>
          <w:bCs/>
          <w:sz w:val="22"/>
          <w:szCs w:val="22"/>
        </w:rPr>
        <w:t>treść oferty</w:t>
      </w:r>
    </w:p>
    <w:p w14:paraId="3CA90304" w14:textId="6976C4E7" w:rsidR="00492A9A" w:rsidRPr="001F4634" w:rsidRDefault="008A1E1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4634">
        <w:rPr>
          <w:rFonts w:asciiTheme="majorHAnsi" w:hAnsiTheme="majorHAnsi" w:cstheme="majorHAnsi"/>
          <w:b/>
          <w:bCs/>
          <w:sz w:val="22"/>
          <w:szCs w:val="22"/>
        </w:rPr>
        <w:t xml:space="preserve">Projektowane postanowienia umowy w sprawie zamówienia - </w:t>
      </w:r>
      <w:r w:rsidR="00492A9A" w:rsidRPr="001F4634">
        <w:rPr>
          <w:rFonts w:asciiTheme="majorHAnsi" w:hAnsiTheme="majorHAnsi" w:cstheme="majorHAnsi"/>
          <w:b/>
          <w:bCs/>
          <w:sz w:val="22"/>
          <w:szCs w:val="22"/>
        </w:rPr>
        <w:t>Wzór umowy</w:t>
      </w:r>
    </w:p>
    <w:p w14:paraId="3D436C63" w14:textId="4EF5EB46" w:rsidR="00EF3D1E" w:rsidRPr="007B642A" w:rsidRDefault="008819E2" w:rsidP="006D42B4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642A">
        <w:rPr>
          <w:rFonts w:asciiTheme="majorHAnsi" w:hAnsiTheme="majorHAnsi" w:cstheme="majorHAnsi"/>
          <w:b/>
          <w:bCs/>
          <w:sz w:val="22"/>
          <w:szCs w:val="22"/>
        </w:rPr>
        <w:t xml:space="preserve">Wzór </w:t>
      </w:r>
      <w:r w:rsidR="006B0FB9" w:rsidRPr="007B642A">
        <w:rPr>
          <w:rFonts w:asciiTheme="majorHAnsi" w:hAnsiTheme="majorHAnsi" w:cstheme="majorHAnsi"/>
          <w:b/>
          <w:bCs/>
          <w:sz w:val="22"/>
          <w:szCs w:val="22"/>
        </w:rPr>
        <w:t>Szczegółowej s</w:t>
      </w:r>
      <w:r w:rsidRPr="007B642A">
        <w:rPr>
          <w:rFonts w:asciiTheme="majorHAnsi" w:hAnsiTheme="majorHAnsi" w:cstheme="majorHAnsi"/>
          <w:b/>
          <w:bCs/>
          <w:sz w:val="22"/>
          <w:szCs w:val="22"/>
        </w:rPr>
        <w:t>pecyfikacji technicznej (przedmiotowy środek dowodowy)</w:t>
      </w:r>
    </w:p>
    <w:sectPr w:rsidR="00EF3D1E" w:rsidRPr="007B642A" w:rsidSect="006D2B85">
      <w:headerReference w:type="default" r:id="rId39"/>
      <w:footerReference w:type="even" r:id="rId40"/>
      <w:footerReference w:type="default" r:id="rId41"/>
      <w:pgSz w:w="11906" w:h="16838"/>
      <w:pgMar w:top="113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5A40" w14:textId="77777777" w:rsidR="007717F8" w:rsidRDefault="007717F8" w:rsidP="008D770B">
      <w:r>
        <w:separator/>
      </w:r>
    </w:p>
  </w:endnote>
  <w:endnote w:type="continuationSeparator" w:id="0">
    <w:p w14:paraId="39DE85D6" w14:textId="77777777" w:rsidR="007717F8" w:rsidRDefault="007717F8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536683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31E5C0" w14:textId="2D7CC331" w:rsidR="005D176B" w:rsidRDefault="005D176B" w:rsidP="00BB55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22AC1E" w14:textId="77777777" w:rsidR="005D176B" w:rsidRDefault="005D176B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5D176B" w:rsidRPr="00E51D28" w:rsidRDefault="005D176B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 w:rsidR="002C101F"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50F9005B" w:rsidR="005D176B" w:rsidRPr="00E51D28" w:rsidRDefault="00324D8D" w:rsidP="00D74210">
    <w:pPr>
      <w:pStyle w:val="Stopka"/>
      <w:ind w:right="360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13F6F" wp14:editId="04EA73DD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660400" cy="828675"/>
          <wp:effectExtent l="0" t="0" r="0" b="0"/>
          <wp:wrapSquare wrapText="bothSides"/>
          <wp:docPr id="20" name="Obraz 20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780E78" wp14:editId="7AF5D823">
          <wp:extent cx="4105275" cy="381000"/>
          <wp:effectExtent l="0" t="0" r="9525" b="0"/>
          <wp:docPr id="21" name="Obraz 2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E0D6" w14:textId="77777777" w:rsidR="007717F8" w:rsidRDefault="007717F8" w:rsidP="008D770B">
      <w:r>
        <w:separator/>
      </w:r>
    </w:p>
  </w:footnote>
  <w:footnote w:type="continuationSeparator" w:id="0">
    <w:p w14:paraId="0F375117" w14:textId="77777777" w:rsidR="007717F8" w:rsidRDefault="007717F8" w:rsidP="008D770B">
      <w:r>
        <w:continuationSeparator/>
      </w:r>
    </w:p>
  </w:footnote>
  <w:footnote w:id="1">
    <w:p w14:paraId="1B456E09" w14:textId="321F5C8A" w:rsidR="005D176B" w:rsidRDefault="005D176B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="008E7E64"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 w:rsidR="008E7E6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ABD1" w14:textId="372C23CD" w:rsidR="005D176B" w:rsidRDefault="00E82280" w:rsidP="0064317C">
    <w:pPr>
      <w:pStyle w:val="Nagwek"/>
    </w:pPr>
    <w:r>
      <w:t>WB-372/AP-001/2022</w:t>
    </w:r>
  </w:p>
  <w:p w14:paraId="6EFEE377" w14:textId="68B62842" w:rsidR="005D176B" w:rsidRPr="006A40E8" w:rsidRDefault="005D176B" w:rsidP="0064317C">
    <w:pPr>
      <w:ind w:firstLine="708"/>
      <w:contextualSpacing/>
      <w:jc w:val="both"/>
      <w:rPr>
        <w:rFonts w:cstheme="minorHAnsi"/>
      </w:rPr>
    </w:pPr>
  </w:p>
  <w:p w14:paraId="23308B2D" w14:textId="77777777" w:rsidR="005D176B" w:rsidRDefault="005D1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022195"/>
    <w:multiLevelType w:val="multilevel"/>
    <w:tmpl w:val="FCACF5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C3733"/>
    <w:multiLevelType w:val="hybridMultilevel"/>
    <w:tmpl w:val="C6FAE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1495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28"/>
  </w:num>
  <w:num w:numId="11">
    <w:abstractNumId w:val="23"/>
  </w:num>
  <w:num w:numId="12">
    <w:abstractNumId w:val="19"/>
  </w:num>
  <w:num w:numId="13">
    <w:abstractNumId w:val="16"/>
  </w:num>
  <w:num w:numId="14">
    <w:abstractNumId w:val="1"/>
  </w:num>
  <w:num w:numId="15">
    <w:abstractNumId w:val="12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27"/>
  </w:num>
  <w:num w:numId="21">
    <w:abstractNumId w:val="10"/>
  </w:num>
  <w:num w:numId="22">
    <w:abstractNumId w:val="13"/>
  </w:num>
  <w:num w:numId="23">
    <w:abstractNumId w:val="8"/>
  </w:num>
  <w:num w:numId="24">
    <w:abstractNumId w:val="18"/>
  </w:num>
  <w:num w:numId="25">
    <w:abstractNumId w:val="29"/>
  </w:num>
  <w:num w:numId="26">
    <w:abstractNumId w:val="6"/>
  </w:num>
  <w:num w:numId="27">
    <w:abstractNumId w:val="14"/>
  </w:num>
  <w:num w:numId="28">
    <w:abstractNumId w:val="0"/>
  </w:num>
  <w:num w:numId="29">
    <w:abstractNumId w:val="21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164C6"/>
    <w:rsid w:val="00021CBA"/>
    <w:rsid w:val="000246E6"/>
    <w:rsid w:val="00036AAE"/>
    <w:rsid w:val="00043B5D"/>
    <w:rsid w:val="00043E97"/>
    <w:rsid w:val="00050361"/>
    <w:rsid w:val="00050D41"/>
    <w:rsid w:val="0005107E"/>
    <w:rsid w:val="0005282F"/>
    <w:rsid w:val="00054E03"/>
    <w:rsid w:val="00061C8D"/>
    <w:rsid w:val="00061E43"/>
    <w:rsid w:val="0006279C"/>
    <w:rsid w:val="00065425"/>
    <w:rsid w:val="000658E1"/>
    <w:rsid w:val="000663CB"/>
    <w:rsid w:val="00074851"/>
    <w:rsid w:val="00075AEA"/>
    <w:rsid w:val="000826A6"/>
    <w:rsid w:val="00086A81"/>
    <w:rsid w:val="00091F1F"/>
    <w:rsid w:val="00093D81"/>
    <w:rsid w:val="000A3889"/>
    <w:rsid w:val="000B29B7"/>
    <w:rsid w:val="000B2C88"/>
    <w:rsid w:val="000B5017"/>
    <w:rsid w:val="000C311C"/>
    <w:rsid w:val="000C59D5"/>
    <w:rsid w:val="000C6E0A"/>
    <w:rsid w:val="000D4470"/>
    <w:rsid w:val="000E0006"/>
    <w:rsid w:val="000E0C1D"/>
    <w:rsid w:val="000E1073"/>
    <w:rsid w:val="000F1BBD"/>
    <w:rsid w:val="000F2980"/>
    <w:rsid w:val="00101B9F"/>
    <w:rsid w:val="00102061"/>
    <w:rsid w:val="00104819"/>
    <w:rsid w:val="001055A6"/>
    <w:rsid w:val="00107220"/>
    <w:rsid w:val="001111BC"/>
    <w:rsid w:val="00112822"/>
    <w:rsid w:val="001130DB"/>
    <w:rsid w:val="00132BF3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63400"/>
    <w:rsid w:val="00167A53"/>
    <w:rsid w:val="00171A7C"/>
    <w:rsid w:val="001754F1"/>
    <w:rsid w:val="001841DA"/>
    <w:rsid w:val="00185850"/>
    <w:rsid w:val="00190803"/>
    <w:rsid w:val="00191EA4"/>
    <w:rsid w:val="00195C73"/>
    <w:rsid w:val="00196719"/>
    <w:rsid w:val="001A47F6"/>
    <w:rsid w:val="001B2ED2"/>
    <w:rsid w:val="001B397C"/>
    <w:rsid w:val="001C0F82"/>
    <w:rsid w:val="001C181A"/>
    <w:rsid w:val="001C5545"/>
    <w:rsid w:val="001D499F"/>
    <w:rsid w:val="001D58CF"/>
    <w:rsid w:val="001E54FD"/>
    <w:rsid w:val="001E7D41"/>
    <w:rsid w:val="001F11E1"/>
    <w:rsid w:val="001F16F7"/>
    <w:rsid w:val="001F23E2"/>
    <w:rsid w:val="001F4634"/>
    <w:rsid w:val="001F5A6C"/>
    <w:rsid w:val="001F67C3"/>
    <w:rsid w:val="00202CBE"/>
    <w:rsid w:val="00205CA2"/>
    <w:rsid w:val="00220D0E"/>
    <w:rsid w:val="002216FC"/>
    <w:rsid w:val="00234806"/>
    <w:rsid w:val="00237BF1"/>
    <w:rsid w:val="00237ECA"/>
    <w:rsid w:val="002456E0"/>
    <w:rsid w:val="002479D9"/>
    <w:rsid w:val="002554E6"/>
    <w:rsid w:val="00255FFE"/>
    <w:rsid w:val="00266335"/>
    <w:rsid w:val="00273798"/>
    <w:rsid w:val="00275571"/>
    <w:rsid w:val="00283383"/>
    <w:rsid w:val="0028487A"/>
    <w:rsid w:val="00285A3D"/>
    <w:rsid w:val="00287965"/>
    <w:rsid w:val="002940F1"/>
    <w:rsid w:val="002A39B9"/>
    <w:rsid w:val="002A4A55"/>
    <w:rsid w:val="002B15E3"/>
    <w:rsid w:val="002C101F"/>
    <w:rsid w:val="002C14FA"/>
    <w:rsid w:val="002C7AD9"/>
    <w:rsid w:val="002D00B9"/>
    <w:rsid w:val="002D567A"/>
    <w:rsid w:val="002D582B"/>
    <w:rsid w:val="002D6967"/>
    <w:rsid w:val="002E41DF"/>
    <w:rsid w:val="002F30BB"/>
    <w:rsid w:val="002F6175"/>
    <w:rsid w:val="00300730"/>
    <w:rsid w:val="0030163B"/>
    <w:rsid w:val="00303300"/>
    <w:rsid w:val="0030681A"/>
    <w:rsid w:val="003078D8"/>
    <w:rsid w:val="0031013E"/>
    <w:rsid w:val="00312B0E"/>
    <w:rsid w:val="00315C55"/>
    <w:rsid w:val="00324D8D"/>
    <w:rsid w:val="0032712E"/>
    <w:rsid w:val="00327336"/>
    <w:rsid w:val="00332A8B"/>
    <w:rsid w:val="00334FE7"/>
    <w:rsid w:val="003358CC"/>
    <w:rsid w:val="0033726A"/>
    <w:rsid w:val="0034683A"/>
    <w:rsid w:val="00363C51"/>
    <w:rsid w:val="00364AA4"/>
    <w:rsid w:val="003673CA"/>
    <w:rsid w:val="00372612"/>
    <w:rsid w:val="00373C73"/>
    <w:rsid w:val="00374191"/>
    <w:rsid w:val="00374373"/>
    <w:rsid w:val="00380311"/>
    <w:rsid w:val="00384F80"/>
    <w:rsid w:val="00387F76"/>
    <w:rsid w:val="0039153B"/>
    <w:rsid w:val="00394A3A"/>
    <w:rsid w:val="00394B01"/>
    <w:rsid w:val="00397035"/>
    <w:rsid w:val="003979F0"/>
    <w:rsid w:val="00397EC1"/>
    <w:rsid w:val="003A7C3A"/>
    <w:rsid w:val="003B0E50"/>
    <w:rsid w:val="003B2C5F"/>
    <w:rsid w:val="003B4A90"/>
    <w:rsid w:val="003B6608"/>
    <w:rsid w:val="003C5CDC"/>
    <w:rsid w:val="003C63AB"/>
    <w:rsid w:val="003C72FA"/>
    <w:rsid w:val="003C7334"/>
    <w:rsid w:val="003D1456"/>
    <w:rsid w:val="003E5B67"/>
    <w:rsid w:val="003F05EC"/>
    <w:rsid w:val="003F11DF"/>
    <w:rsid w:val="003F12CA"/>
    <w:rsid w:val="003F6877"/>
    <w:rsid w:val="003F6D36"/>
    <w:rsid w:val="004024A9"/>
    <w:rsid w:val="004036D4"/>
    <w:rsid w:val="00406F13"/>
    <w:rsid w:val="00412977"/>
    <w:rsid w:val="004161C5"/>
    <w:rsid w:val="00420210"/>
    <w:rsid w:val="004216CF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388F"/>
    <w:rsid w:val="00464546"/>
    <w:rsid w:val="004671E8"/>
    <w:rsid w:val="0046775A"/>
    <w:rsid w:val="00475607"/>
    <w:rsid w:val="00476009"/>
    <w:rsid w:val="004807FC"/>
    <w:rsid w:val="00481039"/>
    <w:rsid w:val="00492604"/>
    <w:rsid w:val="00492A9A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D3BCB"/>
    <w:rsid w:val="004D3D8C"/>
    <w:rsid w:val="004D5AA3"/>
    <w:rsid w:val="004D6457"/>
    <w:rsid w:val="004F1FA3"/>
    <w:rsid w:val="00507B16"/>
    <w:rsid w:val="00513DF9"/>
    <w:rsid w:val="0051455D"/>
    <w:rsid w:val="00517258"/>
    <w:rsid w:val="0053137A"/>
    <w:rsid w:val="005319AF"/>
    <w:rsid w:val="00535A65"/>
    <w:rsid w:val="00550327"/>
    <w:rsid w:val="0055176A"/>
    <w:rsid w:val="00553EF5"/>
    <w:rsid w:val="005542D7"/>
    <w:rsid w:val="00561CBD"/>
    <w:rsid w:val="00564C7F"/>
    <w:rsid w:val="00565467"/>
    <w:rsid w:val="00571B79"/>
    <w:rsid w:val="005727AC"/>
    <w:rsid w:val="0057758B"/>
    <w:rsid w:val="00591980"/>
    <w:rsid w:val="00593860"/>
    <w:rsid w:val="00595564"/>
    <w:rsid w:val="0059684C"/>
    <w:rsid w:val="005A225E"/>
    <w:rsid w:val="005B453F"/>
    <w:rsid w:val="005C0E45"/>
    <w:rsid w:val="005C1127"/>
    <w:rsid w:val="005C4C2C"/>
    <w:rsid w:val="005D15C8"/>
    <w:rsid w:val="005D176B"/>
    <w:rsid w:val="005D3562"/>
    <w:rsid w:val="005D5347"/>
    <w:rsid w:val="005D54D9"/>
    <w:rsid w:val="005D6282"/>
    <w:rsid w:val="005D7B2B"/>
    <w:rsid w:val="005E019C"/>
    <w:rsid w:val="005E0728"/>
    <w:rsid w:val="005E2441"/>
    <w:rsid w:val="005E5B90"/>
    <w:rsid w:val="005E69B9"/>
    <w:rsid w:val="005E6C87"/>
    <w:rsid w:val="005F0C8A"/>
    <w:rsid w:val="005F7838"/>
    <w:rsid w:val="00600334"/>
    <w:rsid w:val="0060072F"/>
    <w:rsid w:val="006008E9"/>
    <w:rsid w:val="00611D13"/>
    <w:rsid w:val="006324DC"/>
    <w:rsid w:val="006343C6"/>
    <w:rsid w:val="0064317C"/>
    <w:rsid w:val="00647BD5"/>
    <w:rsid w:val="0065145A"/>
    <w:rsid w:val="0065239F"/>
    <w:rsid w:val="006621F6"/>
    <w:rsid w:val="00664E7F"/>
    <w:rsid w:val="006809A9"/>
    <w:rsid w:val="006812B7"/>
    <w:rsid w:val="00683DD0"/>
    <w:rsid w:val="0068590A"/>
    <w:rsid w:val="00686722"/>
    <w:rsid w:val="00691675"/>
    <w:rsid w:val="00691EFE"/>
    <w:rsid w:val="0069481D"/>
    <w:rsid w:val="006A3E41"/>
    <w:rsid w:val="006B0FB9"/>
    <w:rsid w:val="006B51B8"/>
    <w:rsid w:val="006C20DB"/>
    <w:rsid w:val="006C74B4"/>
    <w:rsid w:val="006C7D41"/>
    <w:rsid w:val="006D2B85"/>
    <w:rsid w:val="006D5E48"/>
    <w:rsid w:val="006E0A27"/>
    <w:rsid w:val="006E38C7"/>
    <w:rsid w:val="006F36E5"/>
    <w:rsid w:val="00702D07"/>
    <w:rsid w:val="0070324C"/>
    <w:rsid w:val="007039B8"/>
    <w:rsid w:val="00704551"/>
    <w:rsid w:val="00706B53"/>
    <w:rsid w:val="007075F2"/>
    <w:rsid w:val="00712EAE"/>
    <w:rsid w:val="0071326F"/>
    <w:rsid w:val="007132C3"/>
    <w:rsid w:val="00716C9B"/>
    <w:rsid w:val="00720BBF"/>
    <w:rsid w:val="0072415B"/>
    <w:rsid w:val="007267B0"/>
    <w:rsid w:val="007277FE"/>
    <w:rsid w:val="00741339"/>
    <w:rsid w:val="0074234B"/>
    <w:rsid w:val="00745EA4"/>
    <w:rsid w:val="00746043"/>
    <w:rsid w:val="00746785"/>
    <w:rsid w:val="0075197C"/>
    <w:rsid w:val="00754322"/>
    <w:rsid w:val="007551E3"/>
    <w:rsid w:val="00760D54"/>
    <w:rsid w:val="00762297"/>
    <w:rsid w:val="0076334A"/>
    <w:rsid w:val="007644B4"/>
    <w:rsid w:val="00765133"/>
    <w:rsid w:val="0076735B"/>
    <w:rsid w:val="007717F8"/>
    <w:rsid w:val="00780E57"/>
    <w:rsid w:val="007826EA"/>
    <w:rsid w:val="00782A89"/>
    <w:rsid w:val="00784095"/>
    <w:rsid w:val="007A05D6"/>
    <w:rsid w:val="007A49A4"/>
    <w:rsid w:val="007B36C8"/>
    <w:rsid w:val="007B642A"/>
    <w:rsid w:val="007C3C6C"/>
    <w:rsid w:val="007C6770"/>
    <w:rsid w:val="007D44B7"/>
    <w:rsid w:val="007D4866"/>
    <w:rsid w:val="007E1E14"/>
    <w:rsid w:val="007E31A8"/>
    <w:rsid w:val="007E49EF"/>
    <w:rsid w:val="007F0BD4"/>
    <w:rsid w:val="007F1237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69"/>
    <w:rsid w:val="008337AC"/>
    <w:rsid w:val="00836A18"/>
    <w:rsid w:val="00842882"/>
    <w:rsid w:val="00842F0D"/>
    <w:rsid w:val="0084571B"/>
    <w:rsid w:val="0085227D"/>
    <w:rsid w:val="00861716"/>
    <w:rsid w:val="00862D59"/>
    <w:rsid w:val="00862DAB"/>
    <w:rsid w:val="008729E0"/>
    <w:rsid w:val="00872A87"/>
    <w:rsid w:val="0087421C"/>
    <w:rsid w:val="008819E2"/>
    <w:rsid w:val="00882D98"/>
    <w:rsid w:val="0088576C"/>
    <w:rsid w:val="00890C91"/>
    <w:rsid w:val="00895E51"/>
    <w:rsid w:val="00896B55"/>
    <w:rsid w:val="008A1E19"/>
    <w:rsid w:val="008A5ED4"/>
    <w:rsid w:val="008B0E89"/>
    <w:rsid w:val="008B124A"/>
    <w:rsid w:val="008B79D1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13BAC"/>
    <w:rsid w:val="00914587"/>
    <w:rsid w:val="009156F1"/>
    <w:rsid w:val="00916C78"/>
    <w:rsid w:val="009220BF"/>
    <w:rsid w:val="0092398A"/>
    <w:rsid w:val="00924A22"/>
    <w:rsid w:val="00926A88"/>
    <w:rsid w:val="00934BCC"/>
    <w:rsid w:val="00935A88"/>
    <w:rsid w:val="00937864"/>
    <w:rsid w:val="00941559"/>
    <w:rsid w:val="00941652"/>
    <w:rsid w:val="00943042"/>
    <w:rsid w:val="0094342D"/>
    <w:rsid w:val="00946E03"/>
    <w:rsid w:val="00946EB9"/>
    <w:rsid w:val="009503F7"/>
    <w:rsid w:val="0095217E"/>
    <w:rsid w:val="009540A4"/>
    <w:rsid w:val="009601F6"/>
    <w:rsid w:val="00960348"/>
    <w:rsid w:val="00961FEA"/>
    <w:rsid w:val="00964B0C"/>
    <w:rsid w:val="00966DAA"/>
    <w:rsid w:val="0096796D"/>
    <w:rsid w:val="0097590A"/>
    <w:rsid w:val="00975E88"/>
    <w:rsid w:val="0097772E"/>
    <w:rsid w:val="00985D11"/>
    <w:rsid w:val="009921C0"/>
    <w:rsid w:val="009931F5"/>
    <w:rsid w:val="00994206"/>
    <w:rsid w:val="00994F6C"/>
    <w:rsid w:val="0099508B"/>
    <w:rsid w:val="00995D62"/>
    <w:rsid w:val="00996E6C"/>
    <w:rsid w:val="009A4288"/>
    <w:rsid w:val="009A60A4"/>
    <w:rsid w:val="009B2573"/>
    <w:rsid w:val="009B449B"/>
    <w:rsid w:val="009B6C28"/>
    <w:rsid w:val="009C3405"/>
    <w:rsid w:val="009C3C32"/>
    <w:rsid w:val="009C451A"/>
    <w:rsid w:val="009C671F"/>
    <w:rsid w:val="009D7F61"/>
    <w:rsid w:val="009E1770"/>
    <w:rsid w:val="009E3556"/>
    <w:rsid w:val="009E3767"/>
    <w:rsid w:val="009E5488"/>
    <w:rsid w:val="009E5A37"/>
    <w:rsid w:val="009E6DD6"/>
    <w:rsid w:val="009E72C9"/>
    <w:rsid w:val="009F40F2"/>
    <w:rsid w:val="00A059A7"/>
    <w:rsid w:val="00A05A1F"/>
    <w:rsid w:val="00A20344"/>
    <w:rsid w:val="00A207CB"/>
    <w:rsid w:val="00A247B8"/>
    <w:rsid w:val="00A308D8"/>
    <w:rsid w:val="00A311BF"/>
    <w:rsid w:val="00A346CE"/>
    <w:rsid w:val="00A366B8"/>
    <w:rsid w:val="00A41955"/>
    <w:rsid w:val="00A47BF3"/>
    <w:rsid w:val="00A50810"/>
    <w:rsid w:val="00A5206B"/>
    <w:rsid w:val="00A520C9"/>
    <w:rsid w:val="00A60612"/>
    <w:rsid w:val="00A63A93"/>
    <w:rsid w:val="00A74050"/>
    <w:rsid w:val="00A74708"/>
    <w:rsid w:val="00A7549E"/>
    <w:rsid w:val="00A8102B"/>
    <w:rsid w:val="00A81672"/>
    <w:rsid w:val="00A834D6"/>
    <w:rsid w:val="00A83648"/>
    <w:rsid w:val="00A900BB"/>
    <w:rsid w:val="00A92335"/>
    <w:rsid w:val="00A95F26"/>
    <w:rsid w:val="00AB0B00"/>
    <w:rsid w:val="00AB0BFA"/>
    <w:rsid w:val="00AB4EF0"/>
    <w:rsid w:val="00AC1359"/>
    <w:rsid w:val="00AC6B3A"/>
    <w:rsid w:val="00AD2913"/>
    <w:rsid w:val="00AD5E82"/>
    <w:rsid w:val="00AD7455"/>
    <w:rsid w:val="00AE4A02"/>
    <w:rsid w:val="00AE700F"/>
    <w:rsid w:val="00AF078D"/>
    <w:rsid w:val="00AF1503"/>
    <w:rsid w:val="00AF1A42"/>
    <w:rsid w:val="00AF30E9"/>
    <w:rsid w:val="00AF7313"/>
    <w:rsid w:val="00B02331"/>
    <w:rsid w:val="00B07B7B"/>
    <w:rsid w:val="00B17BD6"/>
    <w:rsid w:val="00B32366"/>
    <w:rsid w:val="00B32CD3"/>
    <w:rsid w:val="00B33D8F"/>
    <w:rsid w:val="00B3567D"/>
    <w:rsid w:val="00B41E95"/>
    <w:rsid w:val="00B42132"/>
    <w:rsid w:val="00B43F29"/>
    <w:rsid w:val="00B460E3"/>
    <w:rsid w:val="00B47EDE"/>
    <w:rsid w:val="00B519DE"/>
    <w:rsid w:val="00B525A8"/>
    <w:rsid w:val="00B60CAC"/>
    <w:rsid w:val="00B64815"/>
    <w:rsid w:val="00B72414"/>
    <w:rsid w:val="00B814F1"/>
    <w:rsid w:val="00B8393E"/>
    <w:rsid w:val="00B8482F"/>
    <w:rsid w:val="00B84D5A"/>
    <w:rsid w:val="00B8772F"/>
    <w:rsid w:val="00B903CD"/>
    <w:rsid w:val="00B9673F"/>
    <w:rsid w:val="00BA54A4"/>
    <w:rsid w:val="00BB091C"/>
    <w:rsid w:val="00BB1257"/>
    <w:rsid w:val="00BB3FBB"/>
    <w:rsid w:val="00BB441A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9CB"/>
    <w:rsid w:val="00BE3DA9"/>
    <w:rsid w:val="00BF2443"/>
    <w:rsid w:val="00BF45C3"/>
    <w:rsid w:val="00BF752C"/>
    <w:rsid w:val="00BF77A5"/>
    <w:rsid w:val="00C0302D"/>
    <w:rsid w:val="00C05DEC"/>
    <w:rsid w:val="00C130CA"/>
    <w:rsid w:val="00C1695F"/>
    <w:rsid w:val="00C17EE2"/>
    <w:rsid w:val="00C24683"/>
    <w:rsid w:val="00C27D72"/>
    <w:rsid w:val="00C34FD6"/>
    <w:rsid w:val="00C4646E"/>
    <w:rsid w:val="00C47CB8"/>
    <w:rsid w:val="00C50DF9"/>
    <w:rsid w:val="00C55246"/>
    <w:rsid w:val="00C57568"/>
    <w:rsid w:val="00C679FD"/>
    <w:rsid w:val="00C7150C"/>
    <w:rsid w:val="00C7163B"/>
    <w:rsid w:val="00C76D8E"/>
    <w:rsid w:val="00C91460"/>
    <w:rsid w:val="00C961BF"/>
    <w:rsid w:val="00C97230"/>
    <w:rsid w:val="00CA00A5"/>
    <w:rsid w:val="00CA2748"/>
    <w:rsid w:val="00CA4B49"/>
    <w:rsid w:val="00CA7E5E"/>
    <w:rsid w:val="00CB02EA"/>
    <w:rsid w:val="00CB054B"/>
    <w:rsid w:val="00CB666A"/>
    <w:rsid w:val="00CB7501"/>
    <w:rsid w:val="00CC55CA"/>
    <w:rsid w:val="00CD1491"/>
    <w:rsid w:val="00CD7D76"/>
    <w:rsid w:val="00CE1506"/>
    <w:rsid w:val="00CE6F05"/>
    <w:rsid w:val="00CF4892"/>
    <w:rsid w:val="00CF4CD5"/>
    <w:rsid w:val="00CF566C"/>
    <w:rsid w:val="00CF60AE"/>
    <w:rsid w:val="00D03AEE"/>
    <w:rsid w:val="00D119B8"/>
    <w:rsid w:val="00D13DAE"/>
    <w:rsid w:val="00D15535"/>
    <w:rsid w:val="00D20742"/>
    <w:rsid w:val="00D2135D"/>
    <w:rsid w:val="00D31A5C"/>
    <w:rsid w:val="00D32CF9"/>
    <w:rsid w:val="00D44DFB"/>
    <w:rsid w:val="00D45F0D"/>
    <w:rsid w:val="00D510AE"/>
    <w:rsid w:val="00D524D6"/>
    <w:rsid w:val="00D61A1B"/>
    <w:rsid w:val="00D649CC"/>
    <w:rsid w:val="00D70FA8"/>
    <w:rsid w:val="00D74210"/>
    <w:rsid w:val="00D74D1A"/>
    <w:rsid w:val="00D75600"/>
    <w:rsid w:val="00D75FCC"/>
    <w:rsid w:val="00D8064A"/>
    <w:rsid w:val="00D843BD"/>
    <w:rsid w:val="00D855EE"/>
    <w:rsid w:val="00D86EF8"/>
    <w:rsid w:val="00D87060"/>
    <w:rsid w:val="00D90B74"/>
    <w:rsid w:val="00D97AE5"/>
    <w:rsid w:val="00DA07AE"/>
    <w:rsid w:val="00DA1F95"/>
    <w:rsid w:val="00DA608E"/>
    <w:rsid w:val="00DA6643"/>
    <w:rsid w:val="00DB2199"/>
    <w:rsid w:val="00DB436E"/>
    <w:rsid w:val="00DB615D"/>
    <w:rsid w:val="00DB6A25"/>
    <w:rsid w:val="00DC687A"/>
    <w:rsid w:val="00DD58C6"/>
    <w:rsid w:val="00DD5C9C"/>
    <w:rsid w:val="00DD745D"/>
    <w:rsid w:val="00DE0204"/>
    <w:rsid w:val="00DE2B5A"/>
    <w:rsid w:val="00DE5B80"/>
    <w:rsid w:val="00DE6AC9"/>
    <w:rsid w:val="00DF0C15"/>
    <w:rsid w:val="00DF12D3"/>
    <w:rsid w:val="00DF201E"/>
    <w:rsid w:val="00DF5C5F"/>
    <w:rsid w:val="00DF63A2"/>
    <w:rsid w:val="00E032BE"/>
    <w:rsid w:val="00E107CF"/>
    <w:rsid w:val="00E15EA4"/>
    <w:rsid w:val="00E2305D"/>
    <w:rsid w:val="00E26FCB"/>
    <w:rsid w:val="00E275A7"/>
    <w:rsid w:val="00E30479"/>
    <w:rsid w:val="00E32090"/>
    <w:rsid w:val="00E367AA"/>
    <w:rsid w:val="00E405A7"/>
    <w:rsid w:val="00E4644E"/>
    <w:rsid w:val="00E46BCB"/>
    <w:rsid w:val="00E46E2F"/>
    <w:rsid w:val="00E51D28"/>
    <w:rsid w:val="00E53BA7"/>
    <w:rsid w:val="00E55AF7"/>
    <w:rsid w:val="00E60FF0"/>
    <w:rsid w:val="00E62101"/>
    <w:rsid w:val="00E65D4B"/>
    <w:rsid w:val="00E702A8"/>
    <w:rsid w:val="00E71BCB"/>
    <w:rsid w:val="00E74DD5"/>
    <w:rsid w:val="00E77419"/>
    <w:rsid w:val="00E812BD"/>
    <w:rsid w:val="00E82280"/>
    <w:rsid w:val="00E9441E"/>
    <w:rsid w:val="00E94428"/>
    <w:rsid w:val="00E96729"/>
    <w:rsid w:val="00EA1655"/>
    <w:rsid w:val="00EA2528"/>
    <w:rsid w:val="00EB077D"/>
    <w:rsid w:val="00EB347B"/>
    <w:rsid w:val="00EB479B"/>
    <w:rsid w:val="00EC1968"/>
    <w:rsid w:val="00EC3A3E"/>
    <w:rsid w:val="00EC6F5D"/>
    <w:rsid w:val="00ED20F4"/>
    <w:rsid w:val="00ED28C4"/>
    <w:rsid w:val="00ED5FF1"/>
    <w:rsid w:val="00EE2A56"/>
    <w:rsid w:val="00EE2FDC"/>
    <w:rsid w:val="00EE6C6F"/>
    <w:rsid w:val="00EF1D22"/>
    <w:rsid w:val="00EF2F31"/>
    <w:rsid w:val="00EF3D1E"/>
    <w:rsid w:val="00EF7B3F"/>
    <w:rsid w:val="00F02D50"/>
    <w:rsid w:val="00F03F75"/>
    <w:rsid w:val="00F0419B"/>
    <w:rsid w:val="00F10AFE"/>
    <w:rsid w:val="00F1324A"/>
    <w:rsid w:val="00F1499E"/>
    <w:rsid w:val="00F20EC2"/>
    <w:rsid w:val="00F21CA7"/>
    <w:rsid w:val="00F30031"/>
    <w:rsid w:val="00F35A4F"/>
    <w:rsid w:val="00F412C3"/>
    <w:rsid w:val="00F41DCA"/>
    <w:rsid w:val="00F42AC3"/>
    <w:rsid w:val="00F43B87"/>
    <w:rsid w:val="00F515A2"/>
    <w:rsid w:val="00F53BD4"/>
    <w:rsid w:val="00F5785C"/>
    <w:rsid w:val="00F76B8B"/>
    <w:rsid w:val="00F7762B"/>
    <w:rsid w:val="00F80B28"/>
    <w:rsid w:val="00F80E77"/>
    <w:rsid w:val="00F81BFC"/>
    <w:rsid w:val="00F81C44"/>
    <w:rsid w:val="00F8387E"/>
    <w:rsid w:val="00F86975"/>
    <w:rsid w:val="00F94957"/>
    <w:rsid w:val="00F952FA"/>
    <w:rsid w:val="00F97EF3"/>
    <w:rsid w:val="00FA30B6"/>
    <w:rsid w:val="00FB238B"/>
    <w:rsid w:val="00FB6D9C"/>
    <w:rsid w:val="00FC343F"/>
    <w:rsid w:val="00FC4475"/>
    <w:rsid w:val="00FC4BC3"/>
    <w:rsid w:val="00FC5F13"/>
    <w:rsid w:val="00FD5100"/>
    <w:rsid w:val="00FD6643"/>
    <w:rsid w:val="00FD72B5"/>
    <w:rsid w:val="00FE0657"/>
    <w:rsid w:val="00FE0EC5"/>
    <w:rsid w:val="00FE407C"/>
    <w:rsid w:val="00FE7297"/>
    <w:rsid w:val="00FF5A9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A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zamowieniawb@uw.edu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mailto:iod@adm.uw.edu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miniportal.uzp.gov.pl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file:////miniportal.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51FEF3-DC40-4E1C-837B-E0C87C2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8328</Words>
  <Characters>49972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P.</cp:lastModifiedBy>
  <cp:revision>15</cp:revision>
  <cp:lastPrinted>2022-11-18T10:00:00Z</cp:lastPrinted>
  <dcterms:created xsi:type="dcterms:W3CDTF">2022-10-24T12:33:00Z</dcterms:created>
  <dcterms:modified xsi:type="dcterms:W3CDTF">2022-12-07T07:31:00Z</dcterms:modified>
</cp:coreProperties>
</file>