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41B3" w14:textId="77777777" w:rsidR="004E1D6B" w:rsidRDefault="004E1D6B" w:rsidP="004E1D6B">
      <w:pPr>
        <w:pStyle w:val="Nagwek"/>
      </w:pPr>
      <w:r>
        <w:t>Załącznik nr 1 do SWZ</w:t>
      </w:r>
    </w:p>
    <w:p w14:paraId="18126BCC" w14:textId="77777777" w:rsidR="004E1D6B" w:rsidRDefault="004E1D6B" w:rsidP="00CB32F5">
      <w:pPr>
        <w:ind w:hanging="993"/>
        <w:jc w:val="center"/>
        <w:rPr>
          <w:rFonts w:ascii="Calibri Light" w:hAnsi="Calibri Light" w:cs="Calibri Light"/>
          <w:b/>
          <w:bCs/>
          <w:sz w:val="24"/>
          <w:szCs w:val="24"/>
        </w:rPr>
      </w:pPr>
    </w:p>
    <w:p w14:paraId="1AF2746D" w14:textId="35EFF142" w:rsidR="0031431D" w:rsidRDefault="00CB32F5" w:rsidP="00CB32F5">
      <w:pPr>
        <w:ind w:hanging="993"/>
        <w:jc w:val="center"/>
        <w:rPr>
          <w:rFonts w:ascii="Calibri Light" w:hAnsi="Calibri Light" w:cs="Calibri Light"/>
          <w:b/>
          <w:bCs/>
          <w:sz w:val="24"/>
          <w:szCs w:val="24"/>
        </w:rPr>
      </w:pPr>
      <w:r w:rsidRPr="00CB32F5">
        <w:rPr>
          <w:rFonts w:ascii="Calibri Light" w:hAnsi="Calibri Light" w:cs="Calibri Light"/>
          <w:b/>
          <w:bCs/>
          <w:sz w:val="24"/>
          <w:szCs w:val="24"/>
        </w:rPr>
        <w:t>OPIS PRZEDMIOTU ZAMÓWIENIA</w:t>
      </w:r>
    </w:p>
    <w:p w14:paraId="51074AAA" w14:textId="2CF5E563" w:rsidR="00FC4018" w:rsidRDefault="00811E43" w:rsidP="00811E43">
      <w:pPr>
        <w:ind w:hanging="993"/>
        <w:jc w:val="center"/>
        <w:rPr>
          <w:rFonts w:ascii="Calibri Light" w:hAnsi="Calibri Light" w:cs="Calibri Light"/>
          <w:b/>
          <w:bCs/>
          <w:sz w:val="24"/>
          <w:szCs w:val="24"/>
        </w:rPr>
      </w:pPr>
      <w:r>
        <w:rPr>
          <w:rFonts w:ascii="Calibri" w:hAnsi="Calibri" w:cs="Calibri"/>
          <w:b/>
          <w:bCs/>
          <w:i/>
          <w:iCs/>
          <w:u w:val="dotted"/>
        </w:rPr>
        <w:t xml:space="preserve">Tytuł postępowania: </w:t>
      </w:r>
      <w:r w:rsidR="00FC4018" w:rsidRPr="00E32B43">
        <w:rPr>
          <w:rFonts w:ascii="Calibri" w:hAnsi="Calibri" w:cs="Calibri"/>
          <w:b/>
          <w:bCs/>
          <w:i/>
          <w:iCs/>
          <w:u w:val="dotted"/>
        </w:rPr>
        <w:t>„Zakup i dostawa odczynników laboratoryjnych, laboratoryjnych wyrobów szklanych i plastikowych pipet”</w:t>
      </w:r>
    </w:p>
    <w:p w14:paraId="36E7D5B6" w14:textId="76FE7BC8" w:rsidR="00CB32F5" w:rsidRDefault="00CB32F5" w:rsidP="00CB32F5">
      <w:pPr>
        <w:ind w:hanging="993"/>
        <w:jc w:val="center"/>
        <w:rPr>
          <w:rFonts w:ascii="Calibri Light" w:hAnsi="Calibri Light" w:cs="Calibri Light"/>
          <w:b/>
          <w:bCs/>
          <w:sz w:val="24"/>
          <w:szCs w:val="24"/>
        </w:rPr>
      </w:pPr>
    </w:p>
    <w:p w14:paraId="1BDFB19A" w14:textId="6073518D" w:rsidR="00CB32F5" w:rsidRPr="00CB32F5" w:rsidRDefault="00CB32F5" w:rsidP="00CB32F5">
      <w:pPr>
        <w:jc w:val="both"/>
        <w:rPr>
          <w:rFonts w:ascii="Calibri Light" w:hAnsi="Calibri Light" w:cs="Calibri Light"/>
          <w:sz w:val="24"/>
          <w:szCs w:val="24"/>
        </w:rPr>
      </w:pPr>
      <w:r>
        <w:rPr>
          <w:rFonts w:ascii="Calibri Light" w:hAnsi="Calibri Light" w:cs="Calibri Light"/>
          <w:sz w:val="24"/>
          <w:szCs w:val="24"/>
        </w:rPr>
        <w:t>Numer</w:t>
      </w:r>
      <w:r w:rsidRPr="00CB32F5">
        <w:rPr>
          <w:rFonts w:ascii="Calibri Light" w:hAnsi="Calibri Light" w:cs="Calibri Light"/>
          <w:sz w:val="24"/>
          <w:szCs w:val="24"/>
        </w:rPr>
        <w:t xml:space="preserve"> CAS: oznaczenie numeryczne przypisane substancji chemicznej przez amerykańską organizację Chemical Abstracts Service (CAS), pozwalające na identyfikację substancji. Numer CAS jest jednym z najpowszechniej stosowanych sposobów identyfikacji substancji chemicznych. Nie stanowi on unikatowej cechy produktu (np. różne bezwodne odmiany kwasu cytrynowego mają ten sam numer CAS)</w:t>
      </w:r>
    </w:p>
    <w:p w14:paraId="6238B88E" w14:textId="350D1BE5" w:rsidR="00CB32F5" w:rsidRDefault="00CB32F5" w:rsidP="00CB32F5">
      <w:pPr>
        <w:ind w:hanging="993"/>
      </w:pPr>
    </w:p>
    <w:tbl>
      <w:tblPr>
        <w:tblW w:w="13390" w:type="dxa"/>
        <w:tblCellMar>
          <w:left w:w="70" w:type="dxa"/>
          <w:right w:w="70" w:type="dxa"/>
        </w:tblCellMar>
        <w:tblLook w:val="04A0" w:firstRow="1" w:lastRow="0" w:firstColumn="1" w:lastColumn="0" w:noHBand="0" w:noVBand="1"/>
      </w:tblPr>
      <w:tblGrid>
        <w:gridCol w:w="626"/>
        <w:gridCol w:w="3129"/>
        <w:gridCol w:w="7264"/>
        <w:gridCol w:w="1584"/>
        <w:gridCol w:w="787"/>
      </w:tblGrid>
      <w:tr w:rsidR="00CB32F5" w:rsidRPr="00CB32F5" w14:paraId="5F68178A"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7CDF922"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73DB59C7"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41100B9F" w14:textId="32FA841A"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Opis cech artykułu lub ró</w:t>
            </w:r>
            <w:r w:rsidR="00E63D1D">
              <w:rPr>
                <w:rFonts w:ascii="Calibri" w:eastAsia="Times New Roman" w:hAnsi="Calibri" w:cs="Calibri"/>
                <w:b/>
                <w:bCs/>
                <w:color w:val="000000"/>
                <w:sz w:val="18"/>
                <w:szCs w:val="18"/>
                <w:lang w:eastAsia="pl-PL"/>
              </w:rPr>
              <w:t>wnoważnego</w:t>
            </w:r>
            <w:r w:rsidRPr="00CB32F5">
              <w:rPr>
                <w:rFonts w:ascii="Calibri" w:eastAsia="Times New Roman" w:hAnsi="Calibri" w:cs="Calibri"/>
                <w:b/>
                <w:bCs/>
                <w:color w:val="000000"/>
                <w:sz w:val="18"/>
                <w:szCs w:val="18"/>
                <w:lang w:eastAsia="pl-PL"/>
              </w:rPr>
              <w:t xml:space="preserve"> artykułu </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1F9AB4FF"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0D1E5323"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7ABF836C" w14:textId="77777777" w:rsidTr="00CB32F5">
        <w:trPr>
          <w:trHeight w:val="300"/>
        </w:trPr>
        <w:tc>
          <w:tcPr>
            <w:tcW w:w="626" w:type="dxa"/>
            <w:tcBorders>
              <w:top w:val="nil"/>
              <w:left w:val="nil"/>
              <w:bottom w:val="single" w:sz="4" w:space="0" w:color="auto"/>
              <w:right w:val="nil"/>
            </w:tcBorders>
            <w:shd w:val="clear" w:color="000000" w:fill="D9D9D9"/>
            <w:noWrap/>
            <w:vAlign w:val="bottom"/>
            <w:hideMark/>
          </w:tcPr>
          <w:p w14:paraId="375C015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5FAB67C0"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1:  Pipety z akcesoriami</w:t>
            </w:r>
          </w:p>
        </w:tc>
        <w:tc>
          <w:tcPr>
            <w:tcW w:w="1584" w:type="dxa"/>
            <w:tcBorders>
              <w:top w:val="nil"/>
              <w:left w:val="nil"/>
              <w:bottom w:val="single" w:sz="4" w:space="0" w:color="auto"/>
              <w:right w:val="nil"/>
            </w:tcBorders>
            <w:shd w:val="clear" w:color="000000" w:fill="D9D9D9"/>
            <w:noWrap/>
            <w:vAlign w:val="bottom"/>
            <w:hideMark/>
          </w:tcPr>
          <w:p w14:paraId="4DB81D1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2B41149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177A64D3" w14:textId="77777777" w:rsidTr="00CB32F5">
        <w:trPr>
          <w:trHeight w:val="19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021CAA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vAlign w:val="bottom"/>
            <w:hideMark/>
          </w:tcPr>
          <w:p w14:paraId="4B6781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pipeta elektroniczna równoważna z Xplorer Eppendorf</w:t>
            </w:r>
          </w:p>
        </w:tc>
        <w:tc>
          <w:tcPr>
            <w:tcW w:w="7264" w:type="dxa"/>
            <w:tcBorders>
              <w:top w:val="nil"/>
              <w:left w:val="nil"/>
              <w:bottom w:val="single" w:sz="4" w:space="0" w:color="auto"/>
              <w:right w:val="single" w:sz="4" w:space="0" w:color="auto"/>
            </w:tcBorders>
            <w:shd w:val="clear" w:color="000000" w:fill="FFFFFF"/>
            <w:vAlign w:val="bottom"/>
            <w:hideMark/>
          </w:tcPr>
          <w:p w14:paraId="5CD4148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elektroniczna pipeta z poduszką powietrzną, intuicyjna obsługa za pomocą wielofunkcyjnej dźwigni, selektor obrotowy do szybkiego i łatwego wyboru funkcji, przejrzysty kolorowy wyświetlacz bez menu podrzędnych, ustawiony pod ergonomicznym kątem, zapewnia optymalną czytelność w każdej pozycji, pojemny akumulator zapewniający nawet 8 godzin pracy bez konieczności ładowania, oddzielne gniazdo zasilania: można kontynuować pracę podczas ładowania, Łatwa regulacja do warunków zewnętrznych, Dolną część pipety można autoklawować, aby zapewnić odpowiednią dekontaminację, opcja:  5 - 100 µL </w:t>
            </w:r>
          </w:p>
        </w:tc>
        <w:tc>
          <w:tcPr>
            <w:tcW w:w="1584" w:type="dxa"/>
            <w:tcBorders>
              <w:top w:val="nil"/>
              <w:left w:val="nil"/>
              <w:bottom w:val="single" w:sz="4" w:space="0" w:color="auto"/>
              <w:right w:val="single" w:sz="4" w:space="0" w:color="auto"/>
            </w:tcBorders>
            <w:shd w:val="clear" w:color="000000" w:fill="FFFFFF"/>
            <w:vAlign w:val="bottom"/>
            <w:hideMark/>
          </w:tcPr>
          <w:p w14:paraId="4F25910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sztuka</w:t>
            </w:r>
          </w:p>
        </w:tc>
        <w:tc>
          <w:tcPr>
            <w:tcW w:w="787" w:type="dxa"/>
            <w:tcBorders>
              <w:top w:val="nil"/>
              <w:left w:val="nil"/>
              <w:bottom w:val="single" w:sz="4" w:space="0" w:color="auto"/>
              <w:right w:val="single" w:sz="4" w:space="0" w:color="auto"/>
            </w:tcBorders>
            <w:shd w:val="clear" w:color="000000" w:fill="FFFFFF"/>
            <w:vAlign w:val="bottom"/>
            <w:hideMark/>
          </w:tcPr>
          <w:p w14:paraId="6F39CD0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1E7A11C"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D7AB4D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777778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pipet automatycznych równoważna z Research plus Eppendorf </w:t>
            </w:r>
          </w:p>
        </w:tc>
        <w:tc>
          <w:tcPr>
            <w:tcW w:w="7264" w:type="dxa"/>
            <w:tcBorders>
              <w:top w:val="nil"/>
              <w:left w:val="nil"/>
              <w:bottom w:val="single" w:sz="4" w:space="0" w:color="auto"/>
              <w:right w:val="single" w:sz="4" w:space="0" w:color="auto"/>
            </w:tcBorders>
            <w:shd w:val="clear" w:color="000000" w:fill="FFFFFF"/>
            <w:vAlign w:val="bottom"/>
            <w:hideMark/>
          </w:tcPr>
          <w:p w14:paraId="3D4F6C5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mechaniczna pipeta z poduszką powietrzną do dokładnego, łatwego i ergonomicznego pipetowania roztworów wodnych, ultra lekka pipeta , nie wymagająca siły do obsługi, ograniczone obciążenie dłoni i ramienia, łatwa regulacja, autoklawowana cała pipeta, najwyższej jakości materiały zapewniają wysoką odporność na UV i substancje chemiczne,  1-kanałowa, zmienna, opcja: 2 – 20 µL, 20 – 200 µL, 100 – 1.000 µL </w:t>
            </w:r>
          </w:p>
        </w:tc>
        <w:tc>
          <w:tcPr>
            <w:tcW w:w="1584" w:type="dxa"/>
            <w:tcBorders>
              <w:top w:val="nil"/>
              <w:left w:val="nil"/>
              <w:bottom w:val="single" w:sz="4" w:space="0" w:color="auto"/>
              <w:right w:val="single" w:sz="4" w:space="0" w:color="auto"/>
            </w:tcBorders>
            <w:shd w:val="clear" w:color="000000" w:fill="FFFFFF"/>
            <w:vAlign w:val="bottom"/>
            <w:hideMark/>
          </w:tcPr>
          <w:p w14:paraId="2AFCAA1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w:t>
            </w:r>
          </w:p>
        </w:tc>
        <w:tc>
          <w:tcPr>
            <w:tcW w:w="787" w:type="dxa"/>
            <w:tcBorders>
              <w:top w:val="nil"/>
              <w:left w:val="nil"/>
              <w:bottom w:val="single" w:sz="4" w:space="0" w:color="auto"/>
              <w:right w:val="single" w:sz="4" w:space="0" w:color="auto"/>
            </w:tcBorders>
            <w:shd w:val="clear" w:color="000000" w:fill="FFFFFF"/>
            <w:vAlign w:val="bottom"/>
            <w:hideMark/>
          </w:tcPr>
          <w:p w14:paraId="3A14FAD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D196119"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E1C7FF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3</w:t>
            </w:r>
          </w:p>
        </w:tc>
        <w:tc>
          <w:tcPr>
            <w:tcW w:w="3129" w:type="dxa"/>
            <w:tcBorders>
              <w:top w:val="nil"/>
              <w:left w:val="nil"/>
              <w:bottom w:val="single" w:sz="4" w:space="0" w:color="auto"/>
              <w:right w:val="single" w:sz="4" w:space="0" w:color="auto"/>
            </w:tcBorders>
            <w:shd w:val="clear" w:color="000000" w:fill="FFFFFF"/>
            <w:vAlign w:val="bottom"/>
            <w:hideMark/>
          </w:tcPr>
          <w:p w14:paraId="6665396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pipet automatycznych równoważna z Research plus Eppendorf </w:t>
            </w:r>
          </w:p>
        </w:tc>
        <w:tc>
          <w:tcPr>
            <w:tcW w:w="7264" w:type="dxa"/>
            <w:tcBorders>
              <w:top w:val="nil"/>
              <w:left w:val="nil"/>
              <w:bottom w:val="single" w:sz="4" w:space="0" w:color="auto"/>
              <w:right w:val="single" w:sz="4" w:space="0" w:color="auto"/>
            </w:tcBorders>
            <w:shd w:val="clear" w:color="000000" w:fill="FFFFFF"/>
            <w:vAlign w:val="bottom"/>
            <w:hideMark/>
          </w:tcPr>
          <w:p w14:paraId="54584A7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mechaniczna pipeta z poduszką powietrzną do dokładnego, łatwego i ergonomicznego pipetowania roztworów wodnych, ultra lekka pipeta , nie wymagająca siły do obsługi, ograniczone obciążenie dłoni i ramienia, łatwa regulacja, autoklawowana cała pipeta, najwyższej jakości materiały zapewniają wysoką odporność na UV i substancje chemiczne, 1-kanałowa, zmienna, opcja: 0,5 – 10 µL, 10 – 100 µL, 100 – 1 000 µL </w:t>
            </w:r>
          </w:p>
        </w:tc>
        <w:tc>
          <w:tcPr>
            <w:tcW w:w="1584" w:type="dxa"/>
            <w:tcBorders>
              <w:top w:val="nil"/>
              <w:left w:val="nil"/>
              <w:bottom w:val="single" w:sz="4" w:space="0" w:color="auto"/>
              <w:right w:val="single" w:sz="4" w:space="0" w:color="auto"/>
            </w:tcBorders>
            <w:shd w:val="clear" w:color="000000" w:fill="FFFFFF"/>
            <w:vAlign w:val="bottom"/>
            <w:hideMark/>
          </w:tcPr>
          <w:p w14:paraId="5A2D581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w:t>
            </w:r>
          </w:p>
        </w:tc>
        <w:tc>
          <w:tcPr>
            <w:tcW w:w="787" w:type="dxa"/>
            <w:tcBorders>
              <w:top w:val="nil"/>
              <w:left w:val="nil"/>
              <w:bottom w:val="single" w:sz="4" w:space="0" w:color="auto"/>
              <w:right w:val="single" w:sz="4" w:space="0" w:color="auto"/>
            </w:tcBorders>
            <w:shd w:val="clear" w:color="000000" w:fill="FFFFFF"/>
            <w:vAlign w:val="bottom"/>
            <w:hideMark/>
          </w:tcPr>
          <w:p w14:paraId="189A938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091FA65" w14:textId="77777777" w:rsidTr="00CB32F5">
        <w:trPr>
          <w:trHeight w:val="58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1AF06D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42A69BF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pipetor elektroniczny</w:t>
            </w:r>
          </w:p>
        </w:tc>
        <w:tc>
          <w:tcPr>
            <w:tcW w:w="7264" w:type="dxa"/>
            <w:tcBorders>
              <w:top w:val="nil"/>
              <w:left w:val="nil"/>
              <w:bottom w:val="single" w:sz="4" w:space="0" w:color="auto"/>
              <w:right w:val="single" w:sz="4" w:space="0" w:color="auto"/>
            </w:tcBorders>
            <w:shd w:val="clear" w:color="000000" w:fill="FFFFFF"/>
            <w:vAlign w:val="bottom"/>
            <w:hideMark/>
          </w:tcPr>
          <w:p w14:paraId="0CB9D9C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1-kanałowa, zawiera zasilacz, uchwyt na ścianę, statyw, 2 filtry membranowe 0,45 µm, 0,1 – 100 mL</w:t>
            </w:r>
          </w:p>
        </w:tc>
        <w:tc>
          <w:tcPr>
            <w:tcW w:w="1584" w:type="dxa"/>
            <w:tcBorders>
              <w:top w:val="nil"/>
              <w:left w:val="nil"/>
              <w:bottom w:val="single" w:sz="4" w:space="0" w:color="auto"/>
              <w:right w:val="single" w:sz="4" w:space="0" w:color="auto"/>
            </w:tcBorders>
            <w:shd w:val="clear" w:color="000000" w:fill="FFFFFF"/>
            <w:vAlign w:val="bottom"/>
            <w:hideMark/>
          </w:tcPr>
          <w:p w14:paraId="50E45D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sztuka</w:t>
            </w:r>
          </w:p>
        </w:tc>
        <w:tc>
          <w:tcPr>
            <w:tcW w:w="787" w:type="dxa"/>
            <w:tcBorders>
              <w:top w:val="nil"/>
              <w:left w:val="nil"/>
              <w:bottom w:val="single" w:sz="4" w:space="0" w:color="auto"/>
              <w:right w:val="single" w:sz="4" w:space="0" w:color="auto"/>
            </w:tcBorders>
            <w:shd w:val="clear" w:color="000000" w:fill="FFFFFF"/>
            <w:vAlign w:val="bottom"/>
            <w:hideMark/>
          </w:tcPr>
          <w:p w14:paraId="63E8445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01852EA4" w14:textId="77777777" w:rsidTr="00CB32F5">
        <w:trPr>
          <w:trHeight w:val="630"/>
        </w:trPr>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FD12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single" w:sz="4" w:space="0" w:color="auto"/>
              <w:left w:val="nil"/>
              <w:bottom w:val="single" w:sz="4" w:space="0" w:color="auto"/>
              <w:right w:val="single" w:sz="4" w:space="0" w:color="auto"/>
            </w:tcBorders>
            <w:shd w:val="clear" w:color="000000" w:fill="FFFFFF"/>
            <w:vAlign w:val="bottom"/>
            <w:hideMark/>
          </w:tcPr>
          <w:p w14:paraId="3A47A4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karuzelowy</w:t>
            </w:r>
          </w:p>
        </w:tc>
        <w:tc>
          <w:tcPr>
            <w:tcW w:w="7264" w:type="dxa"/>
            <w:tcBorders>
              <w:top w:val="single" w:sz="4" w:space="0" w:color="auto"/>
              <w:left w:val="nil"/>
              <w:bottom w:val="single" w:sz="4" w:space="0" w:color="auto"/>
              <w:right w:val="single" w:sz="4" w:space="0" w:color="auto"/>
            </w:tcBorders>
            <w:shd w:val="clear" w:color="000000" w:fill="FFFFFF"/>
            <w:vAlign w:val="bottom"/>
            <w:hideMark/>
          </w:tcPr>
          <w:p w14:paraId="698097D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na 6 szt. pipet, pasujący do pozycji 1-3</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14:paraId="054D7B5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sztuka</w:t>
            </w:r>
          </w:p>
        </w:tc>
        <w:tc>
          <w:tcPr>
            <w:tcW w:w="787" w:type="dxa"/>
            <w:tcBorders>
              <w:top w:val="single" w:sz="4" w:space="0" w:color="auto"/>
              <w:left w:val="nil"/>
              <w:bottom w:val="single" w:sz="4" w:space="0" w:color="auto"/>
              <w:right w:val="single" w:sz="4" w:space="0" w:color="auto"/>
            </w:tcBorders>
            <w:shd w:val="clear" w:color="000000" w:fill="FFFFFF"/>
            <w:vAlign w:val="bottom"/>
            <w:hideMark/>
          </w:tcPr>
          <w:p w14:paraId="088215A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2BC4D30" w14:textId="77777777" w:rsidTr="00CB32F5">
        <w:trPr>
          <w:trHeight w:val="300"/>
        </w:trPr>
        <w:tc>
          <w:tcPr>
            <w:tcW w:w="626" w:type="dxa"/>
            <w:tcBorders>
              <w:top w:val="single" w:sz="4" w:space="0" w:color="auto"/>
              <w:left w:val="nil"/>
              <w:bottom w:val="nil"/>
              <w:right w:val="nil"/>
            </w:tcBorders>
            <w:shd w:val="clear" w:color="auto" w:fill="auto"/>
            <w:noWrap/>
            <w:vAlign w:val="bottom"/>
            <w:hideMark/>
          </w:tcPr>
          <w:p w14:paraId="79843C4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p>
        </w:tc>
        <w:tc>
          <w:tcPr>
            <w:tcW w:w="3129" w:type="dxa"/>
            <w:tcBorders>
              <w:top w:val="single" w:sz="4" w:space="0" w:color="auto"/>
              <w:left w:val="nil"/>
              <w:bottom w:val="nil"/>
              <w:right w:val="nil"/>
            </w:tcBorders>
            <w:shd w:val="clear" w:color="auto" w:fill="auto"/>
            <w:vAlign w:val="bottom"/>
            <w:hideMark/>
          </w:tcPr>
          <w:p w14:paraId="610A9D5B"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single" w:sz="4" w:space="0" w:color="auto"/>
              <w:left w:val="nil"/>
              <w:bottom w:val="nil"/>
              <w:right w:val="nil"/>
            </w:tcBorders>
            <w:shd w:val="clear" w:color="auto" w:fill="auto"/>
            <w:vAlign w:val="bottom"/>
            <w:hideMark/>
          </w:tcPr>
          <w:p w14:paraId="6F43933B"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single" w:sz="4" w:space="0" w:color="auto"/>
              <w:left w:val="nil"/>
              <w:bottom w:val="nil"/>
              <w:right w:val="nil"/>
            </w:tcBorders>
            <w:shd w:val="clear" w:color="auto" w:fill="auto"/>
            <w:noWrap/>
            <w:vAlign w:val="bottom"/>
            <w:hideMark/>
          </w:tcPr>
          <w:p w14:paraId="0E744336"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single" w:sz="4" w:space="0" w:color="auto"/>
              <w:left w:val="nil"/>
              <w:bottom w:val="nil"/>
              <w:right w:val="nil"/>
            </w:tcBorders>
            <w:shd w:val="clear" w:color="auto" w:fill="auto"/>
            <w:noWrap/>
            <w:vAlign w:val="bottom"/>
            <w:hideMark/>
          </w:tcPr>
          <w:p w14:paraId="1D431D00"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6BCD729A"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CE9E92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34A25848"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53219733" w14:textId="02CB79FB" w:rsidR="00CB32F5" w:rsidRPr="00CB32F5" w:rsidRDefault="00E63D1D"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Opis cech artykułu lub ró</w:t>
            </w:r>
            <w:r>
              <w:rPr>
                <w:rFonts w:ascii="Calibri" w:eastAsia="Times New Roman" w:hAnsi="Calibri" w:cs="Calibri"/>
                <w:b/>
                <w:bCs/>
                <w:color w:val="000000"/>
                <w:sz w:val="18"/>
                <w:szCs w:val="18"/>
                <w:lang w:eastAsia="pl-PL"/>
              </w:rPr>
              <w:t>wnoważnego</w:t>
            </w:r>
            <w:r w:rsidRPr="00CB32F5">
              <w:rPr>
                <w:rFonts w:ascii="Calibri" w:eastAsia="Times New Roman" w:hAnsi="Calibri" w:cs="Calibri"/>
                <w:b/>
                <w:bCs/>
                <w:color w:val="000000"/>
                <w:sz w:val="18"/>
                <w:szCs w:val="18"/>
                <w:lang w:eastAsia="pl-PL"/>
              </w:rPr>
              <w:t xml:space="preserve"> artykułu</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4AB25F9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3809D21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1A86E4F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43B26B4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2EC9EA25"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2:  Zestaw - Artykuły plastikowe lub szklane do oznaczeń i hodowli komórkowych</w:t>
            </w:r>
          </w:p>
        </w:tc>
        <w:tc>
          <w:tcPr>
            <w:tcW w:w="1584" w:type="dxa"/>
            <w:tcBorders>
              <w:top w:val="nil"/>
              <w:left w:val="nil"/>
              <w:bottom w:val="single" w:sz="4" w:space="0" w:color="auto"/>
              <w:right w:val="nil"/>
            </w:tcBorders>
            <w:shd w:val="clear" w:color="000000" w:fill="D9D9D9"/>
            <w:noWrap/>
            <w:vAlign w:val="bottom"/>
            <w:hideMark/>
          </w:tcPr>
          <w:p w14:paraId="13284A23" w14:textId="77777777" w:rsidR="00CB32F5" w:rsidRPr="00CB32F5" w:rsidRDefault="00CB32F5" w:rsidP="00CB32F5">
            <w:pPr>
              <w:spacing w:after="0" w:line="240" w:lineRule="auto"/>
              <w:jc w:val="center"/>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 </w:t>
            </w:r>
          </w:p>
        </w:tc>
        <w:tc>
          <w:tcPr>
            <w:tcW w:w="787" w:type="dxa"/>
            <w:tcBorders>
              <w:top w:val="nil"/>
              <w:left w:val="single" w:sz="4" w:space="0" w:color="auto"/>
              <w:bottom w:val="nil"/>
              <w:right w:val="single" w:sz="4" w:space="0" w:color="auto"/>
            </w:tcBorders>
            <w:shd w:val="clear" w:color="000000" w:fill="D9D9D9"/>
            <w:noWrap/>
            <w:vAlign w:val="bottom"/>
            <w:hideMark/>
          </w:tcPr>
          <w:p w14:paraId="0BB0D92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2C77495A"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409A12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vAlign w:val="bottom"/>
            <w:hideMark/>
          </w:tcPr>
          <w:p w14:paraId="407755F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płytki sterylne do mikrotestów, 96-stanowiskowe </w:t>
            </w:r>
          </w:p>
        </w:tc>
        <w:tc>
          <w:tcPr>
            <w:tcW w:w="7264" w:type="dxa"/>
            <w:tcBorders>
              <w:top w:val="nil"/>
              <w:left w:val="nil"/>
              <w:bottom w:val="single" w:sz="4" w:space="0" w:color="auto"/>
              <w:right w:val="single" w:sz="4" w:space="0" w:color="auto"/>
            </w:tcBorders>
            <w:shd w:val="clear" w:color="000000" w:fill="FFFFFF"/>
            <w:vAlign w:val="bottom"/>
            <w:hideMark/>
          </w:tcPr>
          <w:p w14:paraId="3D28C80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płytki sterylne z wyjątkowo przeźroczystego materiału, o profilu U (okrągły), Wykonane z PS. Z numeracją dołków.</w:t>
            </w:r>
            <w:r w:rsidRPr="00CB32F5">
              <w:rPr>
                <w:rFonts w:ascii="Calibri" w:eastAsia="Times New Roman" w:hAnsi="Calibri" w:cs="Calibri"/>
                <w:color w:val="000000"/>
                <w:sz w:val="18"/>
                <w:szCs w:val="18"/>
                <w:lang w:eastAsia="pl-PL"/>
              </w:rPr>
              <w:br/>
              <w:t xml:space="preserve"> Płytki do mikrotestów (PS) 0,3 ml U sterylne 20 x 5 szt.  </w:t>
            </w:r>
          </w:p>
        </w:tc>
        <w:tc>
          <w:tcPr>
            <w:tcW w:w="1584" w:type="dxa"/>
            <w:tcBorders>
              <w:top w:val="nil"/>
              <w:left w:val="nil"/>
              <w:bottom w:val="single" w:sz="4" w:space="0" w:color="auto"/>
              <w:right w:val="single" w:sz="4" w:space="0" w:color="auto"/>
            </w:tcBorders>
            <w:shd w:val="clear" w:color="000000" w:fill="FFFFFF"/>
            <w:vAlign w:val="bottom"/>
            <w:hideMark/>
          </w:tcPr>
          <w:p w14:paraId="608FA23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20x 5 szt.</w:t>
            </w:r>
          </w:p>
        </w:tc>
        <w:tc>
          <w:tcPr>
            <w:tcW w:w="787" w:type="dxa"/>
            <w:tcBorders>
              <w:top w:val="nil"/>
              <w:left w:val="nil"/>
              <w:bottom w:val="single" w:sz="4" w:space="0" w:color="auto"/>
              <w:right w:val="single" w:sz="4" w:space="0" w:color="auto"/>
            </w:tcBorders>
            <w:shd w:val="clear" w:color="000000" w:fill="FFFFFF"/>
            <w:vAlign w:val="bottom"/>
            <w:hideMark/>
          </w:tcPr>
          <w:p w14:paraId="014E1B3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58C2891B"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745CDE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4BF8CB7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pokrywki sterylne do płytek sterylnych do mikrotestów, 96-stanowiskowe</w:t>
            </w:r>
          </w:p>
        </w:tc>
        <w:tc>
          <w:tcPr>
            <w:tcW w:w="7264" w:type="dxa"/>
            <w:tcBorders>
              <w:top w:val="nil"/>
              <w:left w:val="nil"/>
              <w:bottom w:val="single" w:sz="4" w:space="0" w:color="auto"/>
              <w:right w:val="single" w:sz="4" w:space="0" w:color="auto"/>
            </w:tcBorders>
            <w:shd w:val="clear" w:color="000000" w:fill="FFFFFF"/>
            <w:vAlign w:val="bottom"/>
            <w:hideMark/>
          </w:tcPr>
          <w:p w14:paraId="22A3048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pokrywki sterylne do płytek sterylnych do mikrotestów z PS - 96-stanowiskowe</w:t>
            </w:r>
            <w:r w:rsidRPr="00CB32F5">
              <w:rPr>
                <w:rFonts w:ascii="Calibri" w:eastAsia="Times New Roman" w:hAnsi="Calibri" w:cs="Calibri"/>
                <w:color w:val="000000"/>
                <w:sz w:val="18"/>
                <w:szCs w:val="18"/>
                <w:lang w:eastAsia="pl-PL"/>
              </w:rPr>
              <w:br/>
              <w:t xml:space="preserve"> Pokrywki (PS) do płytek, 20 x 5 szt. </w:t>
            </w:r>
          </w:p>
        </w:tc>
        <w:tc>
          <w:tcPr>
            <w:tcW w:w="1584" w:type="dxa"/>
            <w:tcBorders>
              <w:top w:val="nil"/>
              <w:left w:val="nil"/>
              <w:bottom w:val="single" w:sz="4" w:space="0" w:color="auto"/>
              <w:right w:val="single" w:sz="4" w:space="0" w:color="auto"/>
            </w:tcBorders>
            <w:shd w:val="clear" w:color="000000" w:fill="FFFFFF"/>
            <w:vAlign w:val="bottom"/>
            <w:hideMark/>
          </w:tcPr>
          <w:p w14:paraId="62F1768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20x 5 szt.</w:t>
            </w:r>
          </w:p>
        </w:tc>
        <w:tc>
          <w:tcPr>
            <w:tcW w:w="787" w:type="dxa"/>
            <w:tcBorders>
              <w:top w:val="nil"/>
              <w:left w:val="nil"/>
              <w:bottom w:val="single" w:sz="4" w:space="0" w:color="auto"/>
              <w:right w:val="single" w:sz="4" w:space="0" w:color="auto"/>
            </w:tcBorders>
            <w:shd w:val="clear" w:color="000000" w:fill="FFFFFF"/>
            <w:vAlign w:val="bottom"/>
            <w:hideMark/>
          </w:tcPr>
          <w:p w14:paraId="645CD77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563E7EE"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A12B65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vAlign w:val="bottom"/>
            <w:hideMark/>
          </w:tcPr>
          <w:p w14:paraId="7AE9DFC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płytki mikrolitrowe z PS</w:t>
            </w:r>
          </w:p>
        </w:tc>
        <w:tc>
          <w:tcPr>
            <w:tcW w:w="7264" w:type="dxa"/>
            <w:tcBorders>
              <w:top w:val="nil"/>
              <w:left w:val="nil"/>
              <w:bottom w:val="single" w:sz="4" w:space="0" w:color="auto"/>
              <w:right w:val="single" w:sz="4" w:space="0" w:color="auto"/>
            </w:tcBorders>
            <w:shd w:val="clear" w:color="000000" w:fill="FFFFFF"/>
            <w:vAlign w:val="bottom"/>
            <w:hideMark/>
          </w:tcPr>
          <w:p w14:paraId="793B9E2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płytki 96-stanowiskowe do mikrotestów wykonane z PS w wersji z dnem dołka płaskim (typ F). Zagłębienia oznakowane alfanumerycznie. Płytki można ustawiać piętrowo. </w:t>
            </w:r>
            <w:r w:rsidRPr="00CB32F5">
              <w:rPr>
                <w:rFonts w:ascii="Calibri" w:eastAsia="Times New Roman" w:hAnsi="Calibri" w:cs="Calibri"/>
                <w:color w:val="000000"/>
                <w:sz w:val="18"/>
                <w:szCs w:val="18"/>
                <w:lang w:eastAsia="pl-PL"/>
              </w:rPr>
              <w:br/>
              <w:t xml:space="preserve"> Płytki mikrolitrowe 96-dołkowe, typ F 405 µl, 100 szt.  </w:t>
            </w:r>
          </w:p>
        </w:tc>
        <w:tc>
          <w:tcPr>
            <w:tcW w:w="1584" w:type="dxa"/>
            <w:tcBorders>
              <w:top w:val="nil"/>
              <w:left w:val="nil"/>
              <w:bottom w:val="single" w:sz="4" w:space="0" w:color="auto"/>
              <w:right w:val="single" w:sz="4" w:space="0" w:color="auto"/>
            </w:tcBorders>
            <w:shd w:val="clear" w:color="000000" w:fill="FFFFFF"/>
            <w:vAlign w:val="bottom"/>
            <w:hideMark/>
          </w:tcPr>
          <w:p w14:paraId="7F2F208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vAlign w:val="bottom"/>
            <w:hideMark/>
          </w:tcPr>
          <w:p w14:paraId="4E0087B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39AC237F"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C5448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7EE2587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4C6999C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Butelka laboratoryjna z szeroką szyją 1000 ml, Średnica gwintu 101 x 222 mm</w:t>
            </w:r>
          </w:p>
        </w:tc>
        <w:tc>
          <w:tcPr>
            <w:tcW w:w="1584" w:type="dxa"/>
            <w:tcBorders>
              <w:top w:val="nil"/>
              <w:left w:val="nil"/>
              <w:bottom w:val="single" w:sz="4" w:space="0" w:color="auto"/>
              <w:right w:val="single" w:sz="4" w:space="0" w:color="auto"/>
            </w:tcBorders>
            <w:shd w:val="clear" w:color="000000" w:fill="FFFFFF"/>
            <w:vAlign w:val="bottom"/>
            <w:hideMark/>
          </w:tcPr>
          <w:p w14:paraId="0A3CAC7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54B187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00627BEB"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BDA7EF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vAlign w:val="bottom"/>
            <w:hideMark/>
          </w:tcPr>
          <w:p w14:paraId="28460D5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227BB31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Butelka laboratoryjna z szeroką szyją 250 ml, średnica gwintu: 95 x 105 mm</w:t>
            </w:r>
          </w:p>
        </w:tc>
        <w:tc>
          <w:tcPr>
            <w:tcW w:w="1584" w:type="dxa"/>
            <w:tcBorders>
              <w:top w:val="nil"/>
              <w:left w:val="nil"/>
              <w:bottom w:val="single" w:sz="4" w:space="0" w:color="auto"/>
              <w:right w:val="single" w:sz="4" w:space="0" w:color="auto"/>
            </w:tcBorders>
            <w:shd w:val="clear" w:color="000000" w:fill="FFFFFF"/>
            <w:vAlign w:val="bottom"/>
            <w:hideMark/>
          </w:tcPr>
          <w:p w14:paraId="7E92D21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193DBC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289A0B79"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D38A31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6</w:t>
            </w:r>
          </w:p>
        </w:tc>
        <w:tc>
          <w:tcPr>
            <w:tcW w:w="3129" w:type="dxa"/>
            <w:tcBorders>
              <w:top w:val="nil"/>
              <w:left w:val="nil"/>
              <w:bottom w:val="single" w:sz="4" w:space="0" w:color="auto"/>
              <w:right w:val="single" w:sz="4" w:space="0" w:color="auto"/>
            </w:tcBorders>
            <w:shd w:val="clear" w:color="000000" w:fill="FFFFFF"/>
            <w:vAlign w:val="bottom"/>
            <w:hideMark/>
          </w:tcPr>
          <w:p w14:paraId="60D47B9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52967C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Butelka laboratoryjna z szeroką szyją 3800 ml, średnica gwintu: 160 x 320 mm</w:t>
            </w:r>
          </w:p>
        </w:tc>
        <w:tc>
          <w:tcPr>
            <w:tcW w:w="1584" w:type="dxa"/>
            <w:tcBorders>
              <w:top w:val="nil"/>
              <w:left w:val="nil"/>
              <w:bottom w:val="single" w:sz="4" w:space="0" w:color="auto"/>
              <w:right w:val="single" w:sz="4" w:space="0" w:color="auto"/>
            </w:tcBorders>
            <w:shd w:val="clear" w:color="000000" w:fill="FFFFFF"/>
            <w:vAlign w:val="bottom"/>
            <w:hideMark/>
          </w:tcPr>
          <w:p w14:paraId="722734F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5271D4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AD04854"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B6F80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5E55DA9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1EAEC51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 xml:space="preserve">Butelka laboratoryjna z szeroką szyją 50 ml, średnica gwintu: 46 x 91 mm </w:t>
            </w:r>
          </w:p>
        </w:tc>
        <w:tc>
          <w:tcPr>
            <w:tcW w:w="1584" w:type="dxa"/>
            <w:tcBorders>
              <w:top w:val="nil"/>
              <w:left w:val="nil"/>
              <w:bottom w:val="single" w:sz="4" w:space="0" w:color="auto"/>
              <w:right w:val="single" w:sz="4" w:space="0" w:color="auto"/>
            </w:tcBorders>
            <w:shd w:val="clear" w:color="000000" w:fill="FFFFFF"/>
            <w:vAlign w:val="bottom"/>
            <w:hideMark/>
          </w:tcPr>
          <w:p w14:paraId="31CBEA1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76E0029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5D15B900"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373808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311695D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4A7FD21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 xml:space="preserve">Butelka laboratoryjna z szeroką szyją 500 ml, średnica gwintu: 86 x 181 mm </w:t>
            </w:r>
          </w:p>
        </w:tc>
        <w:tc>
          <w:tcPr>
            <w:tcW w:w="1584" w:type="dxa"/>
            <w:tcBorders>
              <w:top w:val="nil"/>
              <w:left w:val="nil"/>
              <w:bottom w:val="single" w:sz="4" w:space="0" w:color="auto"/>
              <w:right w:val="single" w:sz="4" w:space="0" w:color="auto"/>
            </w:tcBorders>
            <w:shd w:val="clear" w:color="000000" w:fill="FFFFFF"/>
            <w:vAlign w:val="bottom"/>
            <w:hideMark/>
          </w:tcPr>
          <w:p w14:paraId="24ABACE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914C6A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61BC32D3"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567280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w:t>
            </w:r>
          </w:p>
        </w:tc>
        <w:tc>
          <w:tcPr>
            <w:tcW w:w="3129" w:type="dxa"/>
            <w:tcBorders>
              <w:top w:val="nil"/>
              <w:left w:val="nil"/>
              <w:bottom w:val="single" w:sz="4" w:space="0" w:color="auto"/>
              <w:right w:val="single" w:sz="4" w:space="0" w:color="auto"/>
            </w:tcBorders>
            <w:shd w:val="clear" w:color="000000" w:fill="FFFFFF"/>
            <w:vAlign w:val="bottom"/>
            <w:hideMark/>
          </w:tcPr>
          <w:p w14:paraId="0176F45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butelka szklana</w:t>
            </w:r>
          </w:p>
        </w:tc>
        <w:tc>
          <w:tcPr>
            <w:tcW w:w="7264" w:type="dxa"/>
            <w:tcBorders>
              <w:top w:val="nil"/>
              <w:left w:val="nil"/>
              <w:bottom w:val="single" w:sz="4" w:space="0" w:color="auto"/>
              <w:right w:val="single" w:sz="4" w:space="0" w:color="auto"/>
            </w:tcBorders>
            <w:shd w:val="clear" w:color="000000" w:fill="FFFFFF"/>
            <w:vAlign w:val="bottom"/>
            <w:hideMark/>
          </w:tcPr>
          <w:p w14:paraId="4B87E9F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Butelki laboratoryjne z białą skalą, wykonane ze szkła borokrzemowego typu 3.3. Produkowane zgodnie z normą ISO 4796-1. Szkło charakteryzujące się niskim współczynnikiem liniowej rozszerzalności cieplnej oraz dużą wytrzymałością w przypadku stosowania wodnych roztworów kwasów i zasad, czy roztworów organicznych.</w:t>
            </w:r>
            <w:r w:rsidRPr="00CB32F5">
              <w:rPr>
                <w:rFonts w:ascii="Calibri" w:eastAsia="Times New Roman" w:hAnsi="Calibri" w:cs="Calibri"/>
                <w:color w:val="000000"/>
                <w:sz w:val="18"/>
                <w:szCs w:val="18"/>
                <w:lang w:eastAsia="pl-PL"/>
              </w:rPr>
              <w:br/>
              <w:t>Butelka laboratoryjna z szeroką szyją 1000 ml, średnica gwintu: 101 x 230 mm</w:t>
            </w:r>
          </w:p>
        </w:tc>
        <w:tc>
          <w:tcPr>
            <w:tcW w:w="1584" w:type="dxa"/>
            <w:tcBorders>
              <w:top w:val="nil"/>
              <w:left w:val="nil"/>
              <w:bottom w:val="single" w:sz="4" w:space="0" w:color="auto"/>
              <w:right w:val="single" w:sz="4" w:space="0" w:color="auto"/>
            </w:tcBorders>
            <w:shd w:val="clear" w:color="000000" w:fill="FFFFFF"/>
            <w:vAlign w:val="bottom"/>
            <w:hideMark/>
          </w:tcPr>
          <w:p w14:paraId="3826C1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41EAA4A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57379143"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BF6A86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c>
          <w:tcPr>
            <w:tcW w:w="3129" w:type="dxa"/>
            <w:tcBorders>
              <w:top w:val="nil"/>
              <w:left w:val="nil"/>
              <w:bottom w:val="single" w:sz="4" w:space="0" w:color="auto"/>
              <w:right w:val="single" w:sz="4" w:space="0" w:color="auto"/>
            </w:tcBorders>
            <w:shd w:val="clear" w:color="000000" w:fill="FFFFFF"/>
            <w:vAlign w:val="bottom"/>
            <w:hideMark/>
          </w:tcPr>
          <w:p w14:paraId="10A7A33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statywów z przeźroczystą pokrywką do probówek PCR</w:t>
            </w:r>
          </w:p>
        </w:tc>
        <w:tc>
          <w:tcPr>
            <w:tcW w:w="7264" w:type="dxa"/>
            <w:tcBorders>
              <w:top w:val="nil"/>
              <w:left w:val="nil"/>
              <w:bottom w:val="single" w:sz="4" w:space="0" w:color="auto"/>
              <w:right w:val="single" w:sz="4" w:space="0" w:color="auto"/>
            </w:tcBorders>
            <w:shd w:val="clear" w:color="000000" w:fill="FFFFFF"/>
            <w:vAlign w:val="bottom"/>
            <w:hideMark/>
          </w:tcPr>
          <w:p w14:paraId="0A2DD52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Statywy z przeźroczystą pokrywką. Przeznaczone na 96 szt. (8 x 12) probówek 0,2 ml lub na probówki w paskach. Odporne na temperatury od -80 do +121°C. Mogą być układane w stosy. Wykonane z PP, różnokolorowe</w:t>
            </w:r>
          </w:p>
        </w:tc>
        <w:tc>
          <w:tcPr>
            <w:tcW w:w="1584" w:type="dxa"/>
            <w:tcBorders>
              <w:top w:val="nil"/>
              <w:left w:val="nil"/>
              <w:bottom w:val="single" w:sz="4" w:space="0" w:color="auto"/>
              <w:right w:val="single" w:sz="4" w:space="0" w:color="auto"/>
            </w:tcBorders>
            <w:shd w:val="clear" w:color="000000" w:fill="FFFFFF"/>
            <w:vAlign w:val="bottom"/>
            <w:hideMark/>
          </w:tcPr>
          <w:p w14:paraId="1B57981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 zestaw: 5 szt. </w:t>
            </w:r>
          </w:p>
        </w:tc>
        <w:tc>
          <w:tcPr>
            <w:tcW w:w="787" w:type="dxa"/>
            <w:tcBorders>
              <w:top w:val="nil"/>
              <w:left w:val="nil"/>
              <w:bottom w:val="single" w:sz="4" w:space="0" w:color="auto"/>
              <w:right w:val="single" w:sz="4" w:space="0" w:color="auto"/>
            </w:tcBorders>
            <w:shd w:val="clear" w:color="000000" w:fill="FFFFFF"/>
            <w:vAlign w:val="bottom"/>
            <w:hideMark/>
          </w:tcPr>
          <w:p w14:paraId="0A721FB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603A19F"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9CC92C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0826C0A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do mikroprobówek</w:t>
            </w:r>
          </w:p>
        </w:tc>
        <w:tc>
          <w:tcPr>
            <w:tcW w:w="7264" w:type="dxa"/>
            <w:tcBorders>
              <w:top w:val="nil"/>
              <w:left w:val="nil"/>
              <w:bottom w:val="single" w:sz="4" w:space="0" w:color="auto"/>
              <w:right w:val="single" w:sz="4" w:space="0" w:color="auto"/>
            </w:tcBorders>
            <w:shd w:val="clear" w:color="000000" w:fill="FFFFFF"/>
            <w:vAlign w:val="bottom"/>
            <w:hideMark/>
          </w:tcPr>
          <w:p w14:paraId="51BA2FB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wykonane z polipropylenu (PP). Przeznaczone na 100 probówek o poj. 1,5 ml z zamkniętą zatyczką lub na 50 probówek o poj. 1,5 ml z otwartą zatyczką, wymiar: 263 x 109,5 x 45 mm, biały</w:t>
            </w:r>
          </w:p>
        </w:tc>
        <w:tc>
          <w:tcPr>
            <w:tcW w:w="1584" w:type="dxa"/>
            <w:tcBorders>
              <w:top w:val="nil"/>
              <w:left w:val="nil"/>
              <w:bottom w:val="nil"/>
              <w:right w:val="nil"/>
            </w:tcBorders>
            <w:shd w:val="clear" w:color="000000" w:fill="FFFFFF"/>
            <w:vAlign w:val="bottom"/>
            <w:hideMark/>
          </w:tcPr>
          <w:p w14:paraId="6EC495C1"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szt.</w:t>
            </w:r>
          </w:p>
        </w:tc>
        <w:tc>
          <w:tcPr>
            <w:tcW w:w="787" w:type="dxa"/>
            <w:tcBorders>
              <w:top w:val="nil"/>
              <w:left w:val="single" w:sz="4" w:space="0" w:color="auto"/>
              <w:bottom w:val="single" w:sz="4" w:space="0" w:color="auto"/>
              <w:right w:val="single" w:sz="4" w:space="0" w:color="auto"/>
            </w:tcBorders>
            <w:shd w:val="clear" w:color="000000" w:fill="FFFFFF"/>
            <w:vAlign w:val="bottom"/>
            <w:hideMark/>
          </w:tcPr>
          <w:p w14:paraId="06B2020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129F36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45C58F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c>
          <w:tcPr>
            <w:tcW w:w="3129" w:type="dxa"/>
            <w:tcBorders>
              <w:top w:val="nil"/>
              <w:left w:val="nil"/>
              <w:bottom w:val="single" w:sz="4" w:space="0" w:color="auto"/>
              <w:right w:val="single" w:sz="4" w:space="0" w:color="auto"/>
            </w:tcBorders>
            <w:shd w:val="clear" w:color="000000" w:fill="FFFFFF"/>
            <w:vAlign w:val="bottom"/>
            <w:hideMark/>
          </w:tcPr>
          <w:p w14:paraId="65CE77B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statywy na probówki, wielostronne z PP</w:t>
            </w:r>
          </w:p>
        </w:tc>
        <w:tc>
          <w:tcPr>
            <w:tcW w:w="7264" w:type="dxa"/>
            <w:tcBorders>
              <w:top w:val="nil"/>
              <w:left w:val="nil"/>
              <w:bottom w:val="single" w:sz="4" w:space="0" w:color="auto"/>
              <w:right w:val="single" w:sz="4" w:space="0" w:color="auto"/>
            </w:tcBorders>
            <w:shd w:val="clear" w:color="000000" w:fill="FFFFFF"/>
            <w:vAlign w:val="bottom"/>
            <w:hideMark/>
          </w:tcPr>
          <w:p w14:paraId="3CD37BD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Statywy na probówki, wielostronne z PP. Z czterech stron mogą być użytkowane niezależnie, o bardzo dobrej odporności chemicznej, autoklawowalne i odporne na temperaturę. Kolor różowy</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14:paraId="184321E8"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2786E3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9BFC950"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16B76B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13</w:t>
            </w:r>
          </w:p>
        </w:tc>
        <w:tc>
          <w:tcPr>
            <w:tcW w:w="3129" w:type="dxa"/>
            <w:tcBorders>
              <w:top w:val="nil"/>
              <w:left w:val="nil"/>
              <w:bottom w:val="single" w:sz="4" w:space="0" w:color="auto"/>
              <w:right w:val="single" w:sz="4" w:space="0" w:color="auto"/>
            </w:tcBorders>
            <w:shd w:val="clear" w:color="000000" w:fill="FFFFFF"/>
            <w:vAlign w:val="bottom"/>
            <w:hideMark/>
          </w:tcPr>
          <w:p w14:paraId="12B5D1C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statywy do probówek typu Falcon</w:t>
            </w:r>
          </w:p>
        </w:tc>
        <w:tc>
          <w:tcPr>
            <w:tcW w:w="7264" w:type="dxa"/>
            <w:tcBorders>
              <w:top w:val="nil"/>
              <w:left w:val="nil"/>
              <w:bottom w:val="single" w:sz="4" w:space="0" w:color="auto"/>
              <w:right w:val="single" w:sz="4" w:space="0" w:color="auto"/>
            </w:tcBorders>
            <w:shd w:val="clear" w:color="000000" w:fill="FFFFFF"/>
            <w:vAlign w:val="bottom"/>
            <w:hideMark/>
          </w:tcPr>
          <w:p w14:paraId="643C7DF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Statywy wykonane z wysokiej jakości polipropylenu medycznego. Przeznaczone do probówek typu Falcon o pojemności 15 i 50 ml, posiadają odpowiednio 50 i 25 numerowanych miejsc. Autoklawowalne. Kolor niebieski</w:t>
            </w:r>
          </w:p>
        </w:tc>
        <w:tc>
          <w:tcPr>
            <w:tcW w:w="1584" w:type="dxa"/>
            <w:tcBorders>
              <w:top w:val="nil"/>
              <w:left w:val="nil"/>
              <w:bottom w:val="single" w:sz="4" w:space="0" w:color="auto"/>
              <w:right w:val="single" w:sz="4" w:space="0" w:color="auto"/>
            </w:tcBorders>
            <w:shd w:val="clear" w:color="000000" w:fill="FFFFFF"/>
            <w:vAlign w:val="bottom"/>
            <w:hideMark/>
          </w:tcPr>
          <w:p w14:paraId="7FB9D33E"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16E9FDF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4DE0270"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D9AD5D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14</w:t>
            </w:r>
          </w:p>
        </w:tc>
        <w:tc>
          <w:tcPr>
            <w:tcW w:w="3129" w:type="dxa"/>
            <w:tcBorders>
              <w:top w:val="nil"/>
              <w:left w:val="nil"/>
              <w:bottom w:val="single" w:sz="4" w:space="0" w:color="auto"/>
              <w:right w:val="single" w:sz="4" w:space="0" w:color="auto"/>
            </w:tcBorders>
            <w:shd w:val="clear" w:color="000000" w:fill="FFFFFF"/>
            <w:vAlign w:val="bottom"/>
            <w:hideMark/>
          </w:tcPr>
          <w:p w14:paraId="780A291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dwustronny z pokrywką</w:t>
            </w:r>
          </w:p>
        </w:tc>
        <w:tc>
          <w:tcPr>
            <w:tcW w:w="7264" w:type="dxa"/>
            <w:tcBorders>
              <w:top w:val="nil"/>
              <w:left w:val="nil"/>
              <w:bottom w:val="single" w:sz="4" w:space="0" w:color="auto"/>
              <w:right w:val="single" w:sz="4" w:space="0" w:color="auto"/>
            </w:tcBorders>
            <w:shd w:val="clear" w:color="000000" w:fill="FFFFFF"/>
            <w:vAlign w:val="bottom"/>
            <w:hideMark/>
          </w:tcPr>
          <w:p w14:paraId="38D63F1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Stabilne, dwustronne statywy z przeźroczystą pokrywką 0,5/1,5/2,0 ml. Wyposażone w 96 + 6 dodatkowych stanowisk na probówki. Z oznaczeniami alfanumerycznymi. Przeznaczone na probówki o średnicy od 6 do 13 mm, wymiar: 220 x 150 x 50 mm, kolor żółty </w:t>
            </w:r>
          </w:p>
        </w:tc>
        <w:tc>
          <w:tcPr>
            <w:tcW w:w="1584" w:type="dxa"/>
            <w:tcBorders>
              <w:top w:val="nil"/>
              <w:left w:val="nil"/>
              <w:bottom w:val="single" w:sz="4" w:space="0" w:color="auto"/>
              <w:right w:val="single" w:sz="4" w:space="0" w:color="auto"/>
            </w:tcBorders>
            <w:shd w:val="clear" w:color="000000" w:fill="FFFFFF"/>
            <w:vAlign w:val="bottom"/>
            <w:hideMark/>
          </w:tcPr>
          <w:p w14:paraId="0E3F9EB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39B7A26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5F3560A"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10654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640AC99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statyw na probówki 1,5 ml – 2,0 ml </w:t>
            </w:r>
          </w:p>
        </w:tc>
        <w:tc>
          <w:tcPr>
            <w:tcW w:w="7264" w:type="dxa"/>
            <w:tcBorders>
              <w:top w:val="nil"/>
              <w:left w:val="nil"/>
              <w:bottom w:val="single" w:sz="4" w:space="0" w:color="auto"/>
              <w:right w:val="single" w:sz="4" w:space="0" w:color="auto"/>
            </w:tcBorders>
            <w:shd w:val="clear" w:color="000000" w:fill="FFFFFF"/>
            <w:vAlign w:val="bottom"/>
            <w:hideMark/>
          </w:tcPr>
          <w:p w14:paraId="0CE4431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na probówki 1,5 ml – 2,0 ml, z dwoma uchwytami. 80-miejscowy. Wykonany z polipropylenu. Odporny na temp. od -80°C do +125°C. Autoklawowalny. Kolor rżowy.</w:t>
            </w:r>
          </w:p>
        </w:tc>
        <w:tc>
          <w:tcPr>
            <w:tcW w:w="1584" w:type="dxa"/>
            <w:tcBorders>
              <w:top w:val="nil"/>
              <w:left w:val="nil"/>
              <w:bottom w:val="single" w:sz="4" w:space="0" w:color="auto"/>
              <w:right w:val="single" w:sz="4" w:space="0" w:color="auto"/>
            </w:tcBorders>
            <w:shd w:val="clear" w:color="000000" w:fill="FFFFFF"/>
            <w:vAlign w:val="bottom"/>
            <w:hideMark/>
          </w:tcPr>
          <w:p w14:paraId="2BEE29F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ACC981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007574E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338939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16</w:t>
            </w:r>
          </w:p>
        </w:tc>
        <w:tc>
          <w:tcPr>
            <w:tcW w:w="3129" w:type="dxa"/>
            <w:tcBorders>
              <w:top w:val="nil"/>
              <w:left w:val="nil"/>
              <w:bottom w:val="single" w:sz="4" w:space="0" w:color="auto"/>
              <w:right w:val="single" w:sz="4" w:space="0" w:color="auto"/>
            </w:tcBorders>
            <w:shd w:val="clear" w:color="000000" w:fill="FFFFFF"/>
            <w:vAlign w:val="bottom"/>
            <w:hideMark/>
          </w:tcPr>
          <w:p w14:paraId="4C82555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szpatułka</w:t>
            </w:r>
          </w:p>
        </w:tc>
        <w:tc>
          <w:tcPr>
            <w:tcW w:w="7264" w:type="dxa"/>
            <w:tcBorders>
              <w:top w:val="nil"/>
              <w:left w:val="nil"/>
              <w:bottom w:val="single" w:sz="4" w:space="0" w:color="auto"/>
              <w:right w:val="single" w:sz="4" w:space="0" w:color="auto"/>
            </w:tcBorders>
            <w:shd w:val="clear" w:color="000000" w:fill="FFFFFF"/>
            <w:vAlign w:val="bottom"/>
            <w:hideMark/>
          </w:tcPr>
          <w:p w14:paraId="3F114D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Szpatułka podwójna z zakrzywionymi brzegami wykonana ze stali szlachetnej. Posiada dwa ostrza: zaokrąglone z zakrzywionymi brzegami i proste.  Autoklawowalna.</w:t>
            </w:r>
            <w:r w:rsidRPr="00CB32F5">
              <w:rPr>
                <w:rFonts w:ascii="Calibri" w:eastAsia="Times New Roman" w:hAnsi="Calibri" w:cs="Calibri"/>
                <w:color w:val="000000"/>
                <w:sz w:val="18"/>
                <w:szCs w:val="18"/>
                <w:lang w:eastAsia="pl-PL"/>
              </w:rPr>
              <w:br/>
              <w:t xml:space="preserve">szerokość ostrza: 4 mm, długość: 130 mm </w:t>
            </w:r>
          </w:p>
        </w:tc>
        <w:tc>
          <w:tcPr>
            <w:tcW w:w="1584" w:type="dxa"/>
            <w:tcBorders>
              <w:top w:val="nil"/>
              <w:left w:val="nil"/>
              <w:bottom w:val="single" w:sz="4" w:space="0" w:color="auto"/>
              <w:right w:val="single" w:sz="4" w:space="0" w:color="auto"/>
            </w:tcBorders>
            <w:shd w:val="clear" w:color="000000" w:fill="FFFFFF"/>
            <w:vAlign w:val="bottom"/>
            <w:hideMark/>
          </w:tcPr>
          <w:p w14:paraId="15D96E6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516DE84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5D1B58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5121B0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17</w:t>
            </w:r>
          </w:p>
        </w:tc>
        <w:tc>
          <w:tcPr>
            <w:tcW w:w="3129" w:type="dxa"/>
            <w:tcBorders>
              <w:top w:val="nil"/>
              <w:left w:val="nil"/>
              <w:bottom w:val="single" w:sz="4" w:space="0" w:color="auto"/>
              <w:right w:val="single" w:sz="4" w:space="0" w:color="auto"/>
            </w:tcBorders>
            <w:shd w:val="clear" w:color="000000" w:fill="FFFFFF"/>
            <w:vAlign w:val="bottom"/>
            <w:hideMark/>
          </w:tcPr>
          <w:p w14:paraId="12A3D15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pipeta Pasteura</w:t>
            </w:r>
          </w:p>
        </w:tc>
        <w:tc>
          <w:tcPr>
            <w:tcW w:w="7264" w:type="dxa"/>
            <w:tcBorders>
              <w:top w:val="nil"/>
              <w:left w:val="nil"/>
              <w:bottom w:val="single" w:sz="4" w:space="0" w:color="auto"/>
              <w:right w:val="single" w:sz="4" w:space="0" w:color="auto"/>
            </w:tcBorders>
            <w:shd w:val="clear" w:color="000000" w:fill="FFFFFF"/>
            <w:vAlign w:val="bottom"/>
            <w:hideMark/>
          </w:tcPr>
          <w:p w14:paraId="31A27D8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Pipety o poj. 1 ml (z bańką ssącą ok. 5 ml), z podziałką: 0.25 / 0.5 / 0.75 / 1.0 ml,  wymiar:</w:t>
            </w:r>
            <w:r w:rsidRPr="00CB32F5">
              <w:rPr>
                <w:rFonts w:ascii="Calibri" w:eastAsia="Times New Roman" w:hAnsi="Calibri" w:cs="Calibri"/>
                <w:color w:val="000000"/>
                <w:sz w:val="18"/>
                <w:szCs w:val="18"/>
                <w:lang w:eastAsia="pl-PL"/>
              </w:rPr>
              <w:br/>
              <w:t>5 x 150 mm</w:t>
            </w:r>
          </w:p>
        </w:tc>
        <w:tc>
          <w:tcPr>
            <w:tcW w:w="1584" w:type="dxa"/>
            <w:tcBorders>
              <w:top w:val="nil"/>
              <w:left w:val="nil"/>
              <w:bottom w:val="single" w:sz="4" w:space="0" w:color="auto"/>
              <w:right w:val="single" w:sz="4" w:space="0" w:color="auto"/>
            </w:tcBorders>
            <w:shd w:val="clear" w:color="000000" w:fill="FFFFFF"/>
            <w:vAlign w:val="bottom"/>
            <w:hideMark/>
          </w:tcPr>
          <w:p w14:paraId="41B6D62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500 szt. </w:t>
            </w:r>
          </w:p>
        </w:tc>
        <w:tc>
          <w:tcPr>
            <w:tcW w:w="787" w:type="dxa"/>
            <w:tcBorders>
              <w:top w:val="nil"/>
              <w:left w:val="nil"/>
              <w:bottom w:val="single" w:sz="4" w:space="0" w:color="auto"/>
              <w:right w:val="single" w:sz="4" w:space="0" w:color="auto"/>
            </w:tcBorders>
            <w:shd w:val="clear" w:color="000000" w:fill="FFFFFF"/>
            <w:vAlign w:val="bottom"/>
            <w:hideMark/>
          </w:tcPr>
          <w:p w14:paraId="1E43B05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96380DB"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92CE7E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18</w:t>
            </w:r>
          </w:p>
        </w:tc>
        <w:tc>
          <w:tcPr>
            <w:tcW w:w="3129" w:type="dxa"/>
            <w:tcBorders>
              <w:top w:val="nil"/>
              <w:left w:val="nil"/>
              <w:bottom w:val="single" w:sz="4" w:space="0" w:color="auto"/>
              <w:right w:val="single" w:sz="4" w:space="0" w:color="auto"/>
            </w:tcBorders>
            <w:shd w:val="clear" w:color="000000" w:fill="FFFFFF"/>
            <w:vAlign w:val="bottom"/>
            <w:hideMark/>
          </w:tcPr>
          <w:p w14:paraId="4AC9AB8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sterylne filtry strzykawkowe</w:t>
            </w:r>
          </w:p>
        </w:tc>
        <w:tc>
          <w:tcPr>
            <w:tcW w:w="7264" w:type="dxa"/>
            <w:tcBorders>
              <w:top w:val="nil"/>
              <w:left w:val="nil"/>
              <w:bottom w:val="single" w:sz="4" w:space="0" w:color="auto"/>
              <w:right w:val="single" w:sz="4" w:space="0" w:color="auto"/>
            </w:tcBorders>
            <w:shd w:val="clear" w:color="000000" w:fill="FFFFFF"/>
            <w:vAlign w:val="bottom"/>
            <w:hideMark/>
          </w:tcPr>
          <w:p w14:paraId="35C5A0B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Filtry strzykawkowe, sterylne, hydrofilowe z membraną z PES (polietrosulfon). Przeznaczone m.in. do filtracji sterylizującej roztworów wodnych. śr. Membrany: 25 mm śr. Porów: 0,22 µm</w:t>
            </w:r>
          </w:p>
        </w:tc>
        <w:tc>
          <w:tcPr>
            <w:tcW w:w="1584" w:type="dxa"/>
            <w:tcBorders>
              <w:top w:val="nil"/>
              <w:left w:val="nil"/>
              <w:bottom w:val="single" w:sz="4" w:space="0" w:color="auto"/>
              <w:right w:val="single" w:sz="4" w:space="0" w:color="auto"/>
            </w:tcBorders>
            <w:shd w:val="clear" w:color="000000" w:fill="FFFFFF"/>
            <w:vAlign w:val="bottom"/>
            <w:hideMark/>
          </w:tcPr>
          <w:p w14:paraId="79B3B4C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vAlign w:val="bottom"/>
            <w:hideMark/>
          </w:tcPr>
          <w:p w14:paraId="7E2AC20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3E202762" w14:textId="77777777" w:rsidTr="00CB32F5">
        <w:trPr>
          <w:trHeight w:val="14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9532F7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19</w:t>
            </w:r>
          </w:p>
        </w:tc>
        <w:tc>
          <w:tcPr>
            <w:tcW w:w="3129" w:type="dxa"/>
            <w:tcBorders>
              <w:top w:val="nil"/>
              <w:left w:val="nil"/>
              <w:bottom w:val="single" w:sz="4" w:space="0" w:color="auto"/>
              <w:right w:val="single" w:sz="4" w:space="0" w:color="auto"/>
            </w:tcBorders>
            <w:shd w:val="clear" w:color="000000" w:fill="FFFFFF"/>
            <w:vAlign w:val="bottom"/>
            <w:hideMark/>
          </w:tcPr>
          <w:p w14:paraId="574FF2B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taśma do kontroli sterylizacji</w:t>
            </w:r>
          </w:p>
        </w:tc>
        <w:tc>
          <w:tcPr>
            <w:tcW w:w="7264" w:type="dxa"/>
            <w:tcBorders>
              <w:top w:val="nil"/>
              <w:left w:val="nil"/>
              <w:bottom w:val="single" w:sz="4" w:space="0" w:color="auto"/>
              <w:right w:val="single" w:sz="4" w:space="0" w:color="auto"/>
            </w:tcBorders>
            <w:shd w:val="clear" w:color="000000" w:fill="FFFFFF"/>
            <w:vAlign w:val="bottom"/>
            <w:hideMark/>
          </w:tcPr>
          <w:p w14:paraId="3120440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br/>
              <w:t>Samoprzylepna taśma przeznaczona do kontroli procesu sterylizacji parowej. Dostarczana na rolce o długości 12,7 m. Taśma daje się łatwo usunąć i nie pozostawia śladów. W temperaturze 121ºC po 15 min. pojawia się napis AUTOCLAVED, który sygnalizuje ostateczny wynik sterylizacji, śr. 13 mm</w:t>
            </w:r>
          </w:p>
        </w:tc>
        <w:tc>
          <w:tcPr>
            <w:tcW w:w="1584" w:type="dxa"/>
            <w:tcBorders>
              <w:top w:val="nil"/>
              <w:left w:val="nil"/>
              <w:bottom w:val="single" w:sz="4" w:space="0" w:color="auto"/>
              <w:right w:val="single" w:sz="4" w:space="0" w:color="auto"/>
            </w:tcBorders>
            <w:shd w:val="clear" w:color="000000" w:fill="FFFFFF"/>
            <w:vAlign w:val="bottom"/>
            <w:hideMark/>
          </w:tcPr>
          <w:p w14:paraId="3DDFAF8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495E34E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404392A2"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293AD8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c>
          <w:tcPr>
            <w:tcW w:w="3129" w:type="dxa"/>
            <w:tcBorders>
              <w:top w:val="nil"/>
              <w:left w:val="nil"/>
              <w:bottom w:val="single" w:sz="4" w:space="0" w:color="auto"/>
              <w:right w:val="single" w:sz="4" w:space="0" w:color="auto"/>
            </w:tcBorders>
            <w:shd w:val="clear" w:color="000000" w:fill="FFFFFF"/>
            <w:vAlign w:val="bottom"/>
            <w:hideMark/>
          </w:tcPr>
          <w:p w14:paraId="2675B0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taśma samoprzylepna do opisywania</w:t>
            </w:r>
          </w:p>
        </w:tc>
        <w:tc>
          <w:tcPr>
            <w:tcW w:w="7264" w:type="dxa"/>
            <w:tcBorders>
              <w:top w:val="nil"/>
              <w:left w:val="nil"/>
              <w:bottom w:val="single" w:sz="4" w:space="0" w:color="auto"/>
              <w:right w:val="single" w:sz="4" w:space="0" w:color="auto"/>
            </w:tcBorders>
            <w:shd w:val="clear" w:color="000000" w:fill="FFFFFF"/>
            <w:vAlign w:val="bottom"/>
            <w:hideMark/>
          </w:tcPr>
          <w:p w14:paraId="0C0598C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Taśmy samoprzylepne do opisywania, Opis można nanieść ołówkiem, długopisem, pisakiem, tuszem, maszyną do pisania itd. Nie pozostawiają śladów po odklejeniu i mogą zostać użyte ponownie. Oporne na olej, wodę i kwasy. Trwałe w temperaturze od -23°C do +121°C. 13 mm, różne kolory</w:t>
            </w:r>
          </w:p>
        </w:tc>
        <w:tc>
          <w:tcPr>
            <w:tcW w:w="1584" w:type="dxa"/>
            <w:tcBorders>
              <w:top w:val="nil"/>
              <w:left w:val="nil"/>
              <w:bottom w:val="single" w:sz="4" w:space="0" w:color="auto"/>
              <w:right w:val="single" w:sz="4" w:space="0" w:color="auto"/>
            </w:tcBorders>
            <w:shd w:val="clear" w:color="000000" w:fill="FFFFFF"/>
            <w:vAlign w:val="bottom"/>
            <w:hideMark/>
          </w:tcPr>
          <w:p w14:paraId="4DC3F6E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71E383C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35333ADA"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B5D17C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21</w:t>
            </w:r>
          </w:p>
        </w:tc>
        <w:tc>
          <w:tcPr>
            <w:tcW w:w="3129" w:type="dxa"/>
            <w:tcBorders>
              <w:top w:val="nil"/>
              <w:left w:val="nil"/>
              <w:bottom w:val="single" w:sz="4" w:space="0" w:color="auto"/>
              <w:right w:val="single" w:sz="4" w:space="0" w:color="auto"/>
            </w:tcBorders>
            <w:shd w:val="clear" w:color="000000" w:fill="FFFFFF"/>
            <w:vAlign w:val="bottom"/>
            <w:hideMark/>
          </w:tcPr>
          <w:p w14:paraId="3D673A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worki autoklawowalne z PP - z logo Biohazard</w:t>
            </w:r>
          </w:p>
        </w:tc>
        <w:tc>
          <w:tcPr>
            <w:tcW w:w="7264" w:type="dxa"/>
            <w:tcBorders>
              <w:top w:val="nil"/>
              <w:left w:val="nil"/>
              <w:bottom w:val="single" w:sz="4" w:space="0" w:color="auto"/>
              <w:right w:val="single" w:sz="4" w:space="0" w:color="auto"/>
            </w:tcBorders>
            <w:shd w:val="clear" w:color="000000" w:fill="FFFFFF"/>
            <w:vAlign w:val="bottom"/>
            <w:hideMark/>
          </w:tcPr>
          <w:p w14:paraId="3C3E82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Worki autoklawowalne wykonane z polipropylenu. Przeźroczyste, z nadrukowanym logo ostrzegawczym „Biohazard”, do stosowania w laboratoriach generujących odpady biologicznie niebezpieczne, oporne na temperaturę do +140°C, pojemność 60 L</w:t>
            </w:r>
          </w:p>
        </w:tc>
        <w:tc>
          <w:tcPr>
            <w:tcW w:w="1584" w:type="dxa"/>
            <w:tcBorders>
              <w:top w:val="nil"/>
              <w:left w:val="nil"/>
              <w:bottom w:val="single" w:sz="4" w:space="0" w:color="auto"/>
              <w:right w:val="single" w:sz="4" w:space="0" w:color="auto"/>
            </w:tcBorders>
            <w:shd w:val="clear" w:color="000000" w:fill="FFFFFF"/>
            <w:vAlign w:val="bottom"/>
            <w:hideMark/>
          </w:tcPr>
          <w:p w14:paraId="452325B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vAlign w:val="bottom"/>
            <w:hideMark/>
          </w:tcPr>
          <w:p w14:paraId="706A32F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7E209EEE"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9658B5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w:t>
            </w:r>
          </w:p>
        </w:tc>
        <w:tc>
          <w:tcPr>
            <w:tcW w:w="3129" w:type="dxa"/>
            <w:tcBorders>
              <w:top w:val="nil"/>
              <w:left w:val="nil"/>
              <w:bottom w:val="single" w:sz="4" w:space="0" w:color="auto"/>
              <w:right w:val="single" w:sz="4" w:space="0" w:color="auto"/>
            </w:tcBorders>
            <w:shd w:val="clear" w:color="000000" w:fill="FFFFFF"/>
            <w:vAlign w:val="bottom"/>
            <w:hideMark/>
          </w:tcPr>
          <w:p w14:paraId="179F9A1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krioprobówki z PP z gwintem zewnętrznym i uszczelką - sterylne </w:t>
            </w:r>
          </w:p>
        </w:tc>
        <w:tc>
          <w:tcPr>
            <w:tcW w:w="7264" w:type="dxa"/>
            <w:tcBorders>
              <w:top w:val="nil"/>
              <w:left w:val="nil"/>
              <w:bottom w:val="single" w:sz="4" w:space="0" w:color="auto"/>
              <w:right w:val="single" w:sz="4" w:space="0" w:color="auto"/>
            </w:tcBorders>
            <w:shd w:val="clear" w:color="000000" w:fill="FFFFFF"/>
            <w:vAlign w:val="bottom"/>
            <w:hideMark/>
          </w:tcPr>
          <w:p w14:paraId="60E840FF" w14:textId="14542C8F"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Krioprobówki z zakrętką z gwintem zewnętrznym i uszczelką. Wykonane z polipropylenu. Z czarną podziałką i białym polem opisowym. Sterylne. Wolne od DNaz, RNaz, endotoksyn i obcego DNA, objętość: 2,0 ml</w:t>
            </w:r>
          </w:p>
        </w:tc>
        <w:tc>
          <w:tcPr>
            <w:tcW w:w="1584" w:type="dxa"/>
            <w:tcBorders>
              <w:top w:val="nil"/>
              <w:left w:val="nil"/>
              <w:bottom w:val="single" w:sz="4" w:space="0" w:color="auto"/>
              <w:right w:val="single" w:sz="4" w:space="0" w:color="auto"/>
            </w:tcBorders>
            <w:shd w:val="clear" w:color="000000" w:fill="FFFFFF"/>
            <w:vAlign w:val="bottom"/>
            <w:hideMark/>
          </w:tcPr>
          <w:p w14:paraId="4912572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500 szt. </w:t>
            </w:r>
          </w:p>
        </w:tc>
        <w:tc>
          <w:tcPr>
            <w:tcW w:w="787" w:type="dxa"/>
            <w:tcBorders>
              <w:top w:val="nil"/>
              <w:left w:val="nil"/>
              <w:bottom w:val="single" w:sz="4" w:space="0" w:color="auto"/>
              <w:right w:val="single" w:sz="4" w:space="0" w:color="auto"/>
            </w:tcBorders>
            <w:shd w:val="clear" w:color="000000" w:fill="FFFFFF"/>
            <w:vAlign w:val="bottom"/>
            <w:hideMark/>
          </w:tcPr>
          <w:p w14:paraId="5FA5FE7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5CD0CAE"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47E000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23</w:t>
            </w:r>
          </w:p>
        </w:tc>
        <w:tc>
          <w:tcPr>
            <w:tcW w:w="3129" w:type="dxa"/>
            <w:tcBorders>
              <w:top w:val="nil"/>
              <w:left w:val="nil"/>
              <w:bottom w:val="single" w:sz="4" w:space="0" w:color="auto"/>
              <w:right w:val="single" w:sz="4" w:space="0" w:color="auto"/>
            </w:tcBorders>
            <w:shd w:val="clear" w:color="000000" w:fill="FFFFFF"/>
            <w:vAlign w:val="bottom"/>
            <w:hideMark/>
          </w:tcPr>
          <w:p w14:paraId="30D3F83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pudełko na końcówki do pipet</w:t>
            </w:r>
          </w:p>
        </w:tc>
        <w:tc>
          <w:tcPr>
            <w:tcW w:w="7264" w:type="dxa"/>
            <w:tcBorders>
              <w:top w:val="nil"/>
              <w:left w:val="nil"/>
              <w:bottom w:val="single" w:sz="4" w:space="0" w:color="auto"/>
              <w:right w:val="single" w:sz="4" w:space="0" w:color="auto"/>
            </w:tcBorders>
            <w:shd w:val="clear" w:color="000000" w:fill="FFFFFF"/>
            <w:vAlign w:val="bottom"/>
            <w:hideMark/>
          </w:tcPr>
          <w:p w14:paraId="4EE6307E" w14:textId="7C3E2E95"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Pudełko na końcówki o poj. 5 ml do pipet. Może pomieścić 50 szt. większości powszechnie stosowanych końcówek. Wielokrotnego użytku. Autoklawowalne.</w:t>
            </w:r>
          </w:p>
        </w:tc>
        <w:tc>
          <w:tcPr>
            <w:tcW w:w="1584" w:type="dxa"/>
            <w:tcBorders>
              <w:top w:val="nil"/>
              <w:left w:val="nil"/>
              <w:bottom w:val="single" w:sz="4" w:space="0" w:color="auto"/>
              <w:right w:val="single" w:sz="4" w:space="0" w:color="auto"/>
            </w:tcBorders>
            <w:shd w:val="clear" w:color="000000" w:fill="FFFFFF"/>
            <w:vAlign w:val="bottom"/>
            <w:hideMark/>
          </w:tcPr>
          <w:p w14:paraId="6FDF3BC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205DBC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4A9E5F01"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66C293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24</w:t>
            </w:r>
          </w:p>
        </w:tc>
        <w:tc>
          <w:tcPr>
            <w:tcW w:w="3129" w:type="dxa"/>
            <w:tcBorders>
              <w:top w:val="nil"/>
              <w:left w:val="nil"/>
              <w:bottom w:val="single" w:sz="4" w:space="0" w:color="auto"/>
              <w:right w:val="single" w:sz="4" w:space="0" w:color="auto"/>
            </w:tcBorders>
            <w:shd w:val="clear" w:color="000000" w:fill="FFFFFF"/>
            <w:vAlign w:val="bottom"/>
            <w:hideMark/>
          </w:tcPr>
          <w:p w14:paraId="2E75A05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końcówki pasujące do pipety Eppendorf </w:t>
            </w:r>
          </w:p>
        </w:tc>
        <w:tc>
          <w:tcPr>
            <w:tcW w:w="7264" w:type="dxa"/>
            <w:tcBorders>
              <w:top w:val="nil"/>
              <w:left w:val="nil"/>
              <w:bottom w:val="single" w:sz="4" w:space="0" w:color="auto"/>
              <w:right w:val="single" w:sz="4" w:space="0" w:color="auto"/>
            </w:tcBorders>
            <w:shd w:val="clear" w:color="000000" w:fill="FFFFFF"/>
            <w:vAlign w:val="bottom"/>
            <w:hideMark/>
          </w:tcPr>
          <w:p w14:paraId="7195B5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Oryginalne końcówki do pipet firmy Eppendorf o poj. 5 ml. Charakteryzują się znakomitą szczelnością oraz optymalną przezroczystością. Zapakowane w workach z możliwością wielokrotnego zamykania. Zgodne z normą EN ISO 8655. Nadają się do sterylizacji w autoklawie w 121oC.</w:t>
            </w:r>
            <w:r w:rsidRPr="00CB32F5">
              <w:rPr>
                <w:rFonts w:ascii="Calibri" w:eastAsia="Times New Roman" w:hAnsi="Calibri" w:cs="Calibri"/>
                <w:color w:val="000000"/>
                <w:sz w:val="18"/>
                <w:szCs w:val="18"/>
                <w:lang w:eastAsia="pl-PL"/>
              </w:rPr>
              <w:br/>
              <w:t>Końcówki  w worku, bezbarwne, 100-5000 µl, dł. 120 mm</w:t>
            </w:r>
          </w:p>
        </w:tc>
        <w:tc>
          <w:tcPr>
            <w:tcW w:w="1584" w:type="dxa"/>
            <w:tcBorders>
              <w:top w:val="nil"/>
              <w:left w:val="nil"/>
              <w:bottom w:val="single" w:sz="4" w:space="0" w:color="auto"/>
              <w:right w:val="single" w:sz="4" w:space="0" w:color="auto"/>
            </w:tcBorders>
            <w:shd w:val="clear" w:color="000000" w:fill="FFFFFF"/>
            <w:vAlign w:val="bottom"/>
            <w:hideMark/>
          </w:tcPr>
          <w:p w14:paraId="17658A8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5x100 szt.  </w:t>
            </w:r>
          </w:p>
        </w:tc>
        <w:tc>
          <w:tcPr>
            <w:tcW w:w="787" w:type="dxa"/>
            <w:tcBorders>
              <w:top w:val="nil"/>
              <w:left w:val="nil"/>
              <w:bottom w:val="single" w:sz="4" w:space="0" w:color="auto"/>
              <w:right w:val="single" w:sz="4" w:space="0" w:color="auto"/>
            </w:tcBorders>
            <w:shd w:val="clear" w:color="000000" w:fill="FFFFFF"/>
            <w:vAlign w:val="bottom"/>
            <w:hideMark/>
          </w:tcPr>
          <w:p w14:paraId="2D810B6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530C15DD"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AF903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w:t>
            </w:r>
          </w:p>
        </w:tc>
        <w:tc>
          <w:tcPr>
            <w:tcW w:w="3129" w:type="dxa"/>
            <w:tcBorders>
              <w:top w:val="nil"/>
              <w:left w:val="nil"/>
              <w:bottom w:val="single" w:sz="4" w:space="0" w:color="auto"/>
              <w:right w:val="single" w:sz="4" w:space="0" w:color="auto"/>
            </w:tcBorders>
            <w:shd w:val="clear" w:color="000000" w:fill="FFFFFF"/>
            <w:vAlign w:val="bottom"/>
            <w:hideMark/>
          </w:tcPr>
          <w:p w14:paraId="423D5D0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jednorazowe kuwety spektrofotometryczne</w:t>
            </w:r>
          </w:p>
        </w:tc>
        <w:tc>
          <w:tcPr>
            <w:tcW w:w="7264" w:type="dxa"/>
            <w:tcBorders>
              <w:top w:val="nil"/>
              <w:left w:val="nil"/>
              <w:bottom w:val="single" w:sz="4" w:space="0" w:color="auto"/>
              <w:right w:val="single" w:sz="4" w:space="0" w:color="auto"/>
            </w:tcBorders>
            <w:shd w:val="clear" w:color="000000" w:fill="FFFFFF"/>
            <w:vAlign w:val="bottom"/>
            <w:hideMark/>
          </w:tcPr>
          <w:p w14:paraId="4727EDA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Kuwety spektrofotometryczne, Wykonane z tworzyw sztucznych. Sortowane zgodnie z numerem gniazda. Kuwety jednorazowe PS półmikro objętość: 1,6 ml, długość ścieżki optycznej: 10 mm</w:t>
            </w:r>
          </w:p>
        </w:tc>
        <w:tc>
          <w:tcPr>
            <w:tcW w:w="1584" w:type="dxa"/>
            <w:tcBorders>
              <w:top w:val="nil"/>
              <w:left w:val="nil"/>
              <w:bottom w:val="single" w:sz="4" w:space="0" w:color="auto"/>
              <w:right w:val="single" w:sz="4" w:space="0" w:color="auto"/>
            </w:tcBorders>
            <w:shd w:val="clear" w:color="000000" w:fill="FFFFFF"/>
            <w:vAlign w:val="bottom"/>
            <w:hideMark/>
          </w:tcPr>
          <w:p w14:paraId="61D5EEE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100 szt.  </w:t>
            </w:r>
          </w:p>
        </w:tc>
        <w:tc>
          <w:tcPr>
            <w:tcW w:w="787" w:type="dxa"/>
            <w:tcBorders>
              <w:top w:val="nil"/>
              <w:left w:val="nil"/>
              <w:bottom w:val="single" w:sz="4" w:space="0" w:color="auto"/>
              <w:right w:val="single" w:sz="4" w:space="0" w:color="auto"/>
            </w:tcBorders>
            <w:shd w:val="clear" w:color="000000" w:fill="FFFFFF"/>
            <w:vAlign w:val="bottom"/>
            <w:hideMark/>
          </w:tcPr>
          <w:p w14:paraId="673ABA5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50232B12"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1AFB33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26</w:t>
            </w:r>
          </w:p>
        </w:tc>
        <w:tc>
          <w:tcPr>
            <w:tcW w:w="3129" w:type="dxa"/>
            <w:tcBorders>
              <w:top w:val="nil"/>
              <w:left w:val="nil"/>
              <w:bottom w:val="single" w:sz="4" w:space="0" w:color="auto"/>
              <w:right w:val="single" w:sz="4" w:space="0" w:color="auto"/>
            </w:tcBorders>
            <w:shd w:val="clear" w:color="000000" w:fill="FFFFFF"/>
            <w:vAlign w:val="bottom"/>
            <w:hideMark/>
          </w:tcPr>
          <w:p w14:paraId="1C7A854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do kuwet</w:t>
            </w:r>
          </w:p>
        </w:tc>
        <w:tc>
          <w:tcPr>
            <w:tcW w:w="7264" w:type="dxa"/>
            <w:tcBorders>
              <w:top w:val="nil"/>
              <w:left w:val="nil"/>
              <w:bottom w:val="single" w:sz="4" w:space="0" w:color="auto"/>
              <w:right w:val="single" w:sz="4" w:space="0" w:color="auto"/>
            </w:tcBorders>
            <w:shd w:val="clear" w:color="000000" w:fill="FFFFFF"/>
            <w:vAlign w:val="bottom"/>
            <w:hideMark/>
          </w:tcPr>
          <w:p w14:paraId="235858F4" w14:textId="77777777" w:rsidR="00CB32F5" w:rsidRPr="00CB32F5" w:rsidRDefault="00CB32F5" w:rsidP="00CB32F5">
            <w:pPr>
              <w:spacing w:after="24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Statyw na kuwety spektrofotometryczne. Wykonany z PP. Odporny na temperaturę 121°C do 20 min. Przeznaczony na 16 kuwet. Wymiary (dł. x szer.x wys.): 210 x 68 x 35 mm.</w:t>
            </w:r>
          </w:p>
        </w:tc>
        <w:tc>
          <w:tcPr>
            <w:tcW w:w="1584" w:type="dxa"/>
            <w:tcBorders>
              <w:top w:val="nil"/>
              <w:left w:val="nil"/>
              <w:bottom w:val="single" w:sz="4" w:space="0" w:color="auto"/>
              <w:right w:val="single" w:sz="4" w:space="0" w:color="auto"/>
            </w:tcBorders>
            <w:shd w:val="clear" w:color="000000" w:fill="FFFFFF"/>
            <w:vAlign w:val="bottom"/>
            <w:hideMark/>
          </w:tcPr>
          <w:p w14:paraId="0F593FC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6DF0F63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97E059B"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038324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27</w:t>
            </w:r>
          </w:p>
        </w:tc>
        <w:tc>
          <w:tcPr>
            <w:tcW w:w="3129" w:type="dxa"/>
            <w:tcBorders>
              <w:top w:val="nil"/>
              <w:left w:val="nil"/>
              <w:bottom w:val="single" w:sz="4" w:space="0" w:color="auto"/>
              <w:right w:val="single" w:sz="4" w:space="0" w:color="auto"/>
            </w:tcBorders>
            <w:shd w:val="clear" w:color="000000" w:fill="FFFFFF"/>
            <w:vAlign w:val="bottom"/>
            <w:hideMark/>
          </w:tcPr>
          <w:p w14:paraId="36ED6E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sterylne końcówki do pipet w pudełkach</w:t>
            </w:r>
          </w:p>
        </w:tc>
        <w:tc>
          <w:tcPr>
            <w:tcW w:w="7264" w:type="dxa"/>
            <w:tcBorders>
              <w:top w:val="nil"/>
              <w:left w:val="nil"/>
              <w:bottom w:val="single" w:sz="4" w:space="0" w:color="auto"/>
              <w:right w:val="single" w:sz="4" w:space="0" w:color="auto"/>
            </w:tcBorders>
            <w:shd w:val="clear" w:color="000000" w:fill="FFFFFF"/>
            <w:vAlign w:val="bottom"/>
            <w:hideMark/>
          </w:tcPr>
          <w:p w14:paraId="4DA2472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Sterylne końcówki do pipet automatycznych. Wykonane z polipropylenu. Oferowane w pudełkach po 96 szt., poj. 10 µl (10x 96 szt.)</w:t>
            </w:r>
          </w:p>
        </w:tc>
        <w:tc>
          <w:tcPr>
            <w:tcW w:w="1584" w:type="dxa"/>
            <w:tcBorders>
              <w:top w:val="nil"/>
              <w:left w:val="nil"/>
              <w:bottom w:val="single" w:sz="4" w:space="0" w:color="auto"/>
              <w:right w:val="single" w:sz="4" w:space="0" w:color="auto"/>
            </w:tcBorders>
            <w:shd w:val="clear" w:color="000000" w:fill="FFFFFF"/>
            <w:vAlign w:val="bottom"/>
            <w:hideMark/>
          </w:tcPr>
          <w:p w14:paraId="658F6EE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960 szt.</w:t>
            </w:r>
          </w:p>
        </w:tc>
        <w:tc>
          <w:tcPr>
            <w:tcW w:w="787" w:type="dxa"/>
            <w:tcBorders>
              <w:top w:val="nil"/>
              <w:left w:val="nil"/>
              <w:bottom w:val="single" w:sz="4" w:space="0" w:color="auto"/>
              <w:right w:val="single" w:sz="4" w:space="0" w:color="auto"/>
            </w:tcBorders>
            <w:shd w:val="clear" w:color="000000" w:fill="FFFFFF"/>
            <w:vAlign w:val="bottom"/>
            <w:hideMark/>
          </w:tcPr>
          <w:p w14:paraId="4A9DF9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56E50D82" w14:textId="77777777" w:rsidTr="00E63D1D">
        <w:trPr>
          <w:trHeight w:val="642"/>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2A9D1A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28</w:t>
            </w:r>
          </w:p>
        </w:tc>
        <w:tc>
          <w:tcPr>
            <w:tcW w:w="3129" w:type="dxa"/>
            <w:tcBorders>
              <w:top w:val="nil"/>
              <w:left w:val="nil"/>
              <w:bottom w:val="single" w:sz="4" w:space="0" w:color="auto"/>
              <w:right w:val="single" w:sz="4" w:space="0" w:color="auto"/>
            </w:tcBorders>
            <w:shd w:val="clear" w:color="000000" w:fill="FFFFFF"/>
            <w:vAlign w:val="bottom"/>
            <w:hideMark/>
          </w:tcPr>
          <w:p w14:paraId="27DD561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niskoadhezyjne końcówki do pipet automatycznych </w:t>
            </w:r>
          </w:p>
        </w:tc>
        <w:tc>
          <w:tcPr>
            <w:tcW w:w="7264" w:type="dxa"/>
            <w:tcBorders>
              <w:top w:val="nil"/>
              <w:left w:val="nil"/>
              <w:bottom w:val="single" w:sz="4" w:space="0" w:color="auto"/>
              <w:right w:val="single" w:sz="4" w:space="0" w:color="auto"/>
            </w:tcBorders>
            <w:shd w:val="clear" w:color="000000" w:fill="FFFFFF"/>
            <w:vAlign w:val="bottom"/>
            <w:hideMark/>
          </w:tcPr>
          <w:p w14:paraId="713CFA22" w14:textId="788DF2A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niskoadhezyjne, bezbarwne, kompatybilne z pipetami Eppendorf, 0,1-10 µl, niesterylne w worku</w:t>
            </w:r>
          </w:p>
        </w:tc>
        <w:tc>
          <w:tcPr>
            <w:tcW w:w="1584" w:type="dxa"/>
            <w:tcBorders>
              <w:top w:val="nil"/>
              <w:left w:val="nil"/>
              <w:bottom w:val="single" w:sz="4" w:space="0" w:color="auto"/>
              <w:right w:val="single" w:sz="4" w:space="0" w:color="auto"/>
            </w:tcBorders>
            <w:shd w:val="clear" w:color="000000" w:fill="FFFFFF"/>
            <w:vAlign w:val="bottom"/>
            <w:hideMark/>
          </w:tcPr>
          <w:p w14:paraId="4B54F0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1000 szt.  </w:t>
            </w:r>
          </w:p>
        </w:tc>
        <w:tc>
          <w:tcPr>
            <w:tcW w:w="787" w:type="dxa"/>
            <w:tcBorders>
              <w:top w:val="nil"/>
              <w:left w:val="nil"/>
              <w:bottom w:val="single" w:sz="4" w:space="0" w:color="auto"/>
              <w:right w:val="single" w:sz="4" w:space="0" w:color="auto"/>
            </w:tcBorders>
            <w:shd w:val="clear" w:color="000000" w:fill="FFFFFF"/>
            <w:vAlign w:val="bottom"/>
            <w:hideMark/>
          </w:tcPr>
          <w:p w14:paraId="149FF0C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671CCD6D" w14:textId="77777777" w:rsidTr="00E63D1D">
        <w:trPr>
          <w:trHeight w:val="566"/>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C4420C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29</w:t>
            </w:r>
          </w:p>
        </w:tc>
        <w:tc>
          <w:tcPr>
            <w:tcW w:w="3129" w:type="dxa"/>
            <w:tcBorders>
              <w:top w:val="nil"/>
              <w:left w:val="nil"/>
              <w:bottom w:val="single" w:sz="4" w:space="0" w:color="auto"/>
              <w:right w:val="single" w:sz="4" w:space="0" w:color="auto"/>
            </w:tcBorders>
            <w:shd w:val="clear" w:color="000000" w:fill="FFFFFF"/>
            <w:vAlign w:val="bottom"/>
            <w:hideMark/>
          </w:tcPr>
          <w:p w14:paraId="4CAB138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końcówki do pipet automatycznych typu Eppendorf </w:t>
            </w:r>
          </w:p>
        </w:tc>
        <w:tc>
          <w:tcPr>
            <w:tcW w:w="7264" w:type="dxa"/>
            <w:tcBorders>
              <w:top w:val="nil"/>
              <w:left w:val="nil"/>
              <w:bottom w:val="single" w:sz="4" w:space="0" w:color="auto"/>
              <w:right w:val="single" w:sz="4" w:space="0" w:color="auto"/>
            </w:tcBorders>
            <w:shd w:val="clear" w:color="000000" w:fill="FFFFFF"/>
            <w:vAlign w:val="bottom"/>
            <w:hideMark/>
          </w:tcPr>
          <w:p w14:paraId="5A188DE3" w14:textId="6650F806"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typ Eppendorf o poj. 5-200 µl, żółte, niesterylne, w worku</w:t>
            </w:r>
          </w:p>
        </w:tc>
        <w:tc>
          <w:tcPr>
            <w:tcW w:w="1584" w:type="dxa"/>
            <w:tcBorders>
              <w:top w:val="nil"/>
              <w:left w:val="nil"/>
              <w:bottom w:val="single" w:sz="4" w:space="0" w:color="auto"/>
              <w:right w:val="single" w:sz="4" w:space="0" w:color="auto"/>
            </w:tcBorders>
            <w:shd w:val="clear" w:color="000000" w:fill="FFFFFF"/>
            <w:vAlign w:val="bottom"/>
            <w:hideMark/>
          </w:tcPr>
          <w:p w14:paraId="7B081C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1000 szt.  </w:t>
            </w:r>
          </w:p>
        </w:tc>
        <w:tc>
          <w:tcPr>
            <w:tcW w:w="787" w:type="dxa"/>
            <w:tcBorders>
              <w:top w:val="nil"/>
              <w:left w:val="nil"/>
              <w:bottom w:val="single" w:sz="4" w:space="0" w:color="auto"/>
              <w:right w:val="single" w:sz="4" w:space="0" w:color="auto"/>
            </w:tcBorders>
            <w:shd w:val="clear" w:color="000000" w:fill="FFFFFF"/>
            <w:vAlign w:val="bottom"/>
            <w:hideMark/>
          </w:tcPr>
          <w:p w14:paraId="013EF3D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80</w:t>
            </w:r>
          </w:p>
        </w:tc>
      </w:tr>
      <w:tr w:rsidR="00CB32F5" w:rsidRPr="00CB32F5" w14:paraId="4F2BB97F"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701BE6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c>
          <w:tcPr>
            <w:tcW w:w="3129" w:type="dxa"/>
            <w:tcBorders>
              <w:top w:val="nil"/>
              <w:left w:val="nil"/>
              <w:bottom w:val="single" w:sz="4" w:space="0" w:color="auto"/>
              <w:right w:val="single" w:sz="4" w:space="0" w:color="auto"/>
            </w:tcBorders>
            <w:shd w:val="clear" w:color="000000" w:fill="FFFFFF"/>
            <w:vAlign w:val="bottom"/>
            <w:hideMark/>
          </w:tcPr>
          <w:p w14:paraId="78F1E7E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końcówki do pipet automatycznych typu Eppendorf </w:t>
            </w:r>
          </w:p>
        </w:tc>
        <w:tc>
          <w:tcPr>
            <w:tcW w:w="7264" w:type="dxa"/>
            <w:tcBorders>
              <w:top w:val="nil"/>
              <w:left w:val="nil"/>
              <w:bottom w:val="single" w:sz="4" w:space="0" w:color="auto"/>
              <w:right w:val="single" w:sz="4" w:space="0" w:color="auto"/>
            </w:tcBorders>
            <w:shd w:val="clear" w:color="000000" w:fill="FFFFFF"/>
            <w:vAlign w:val="bottom"/>
            <w:hideMark/>
          </w:tcPr>
          <w:p w14:paraId="735B7AF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typ Eppendorf, 100-1000 µl, niebieskie, niesterylne, w worku</w:t>
            </w:r>
          </w:p>
        </w:tc>
        <w:tc>
          <w:tcPr>
            <w:tcW w:w="1584" w:type="dxa"/>
            <w:tcBorders>
              <w:top w:val="nil"/>
              <w:left w:val="nil"/>
              <w:bottom w:val="single" w:sz="4" w:space="0" w:color="auto"/>
              <w:right w:val="single" w:sz="4" w:space="0" w:color="auto"/>
            </w:tcBorders>
            <w:shd w:val="clear" w:color="000000" w:fill="FFFFFF"/>
            <w:vAlign w:val="bottom"/>
            <w:hideMark/>
          </w:tcPr>
          <w:p w14:paraId="178A1A8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1000 szt. </w:t>
            </w:r>
          </w:p>
        </w:tc>
        <w:tc>
          <w:tcPr>
            <w:tcW w:w="787" w:type="dxa"/>
            <w:tcBorders>
              <w:top w:val="nil"/>
              <w:left w:val="nil"/>
              <w:bottom w:val="single" w:sz="4" w:space="0" w:color="auto"/>
              <w:right w:val="single" w:sz="4" w:space="0" w:color="auto"/>
            </w:tcBorders>
            <w:shd w:val="clear" w:color="000000" w:fill="FFFFFF"/>
            <w:vAlign w:val="bottom"/>
            <w:hideMark/>
          </w:tcPr>
          <w:p w14:paraId="2829303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80</w:t>
            </w:r>
          </w:p>
        </w:tc>
      </w:tr>
      <w:tr w:rsidR="00CB32F5" w:rsidRPr="00CB32F5" w14:paraId="70459228"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B781F3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31</w:t>
            </w:r>
          </w:p>
        </w:tc>
        <w:tc>
          <w:tcPr>
            <w:tcW w:w="3129" w:type="dxa"/>
            <w:tcBorders>
              <w:top w:val="nil"/>
              <w:left w:val="nil"/>
              <w:bottom w:val="single" w:sz="4" w:space="0" w:color="auto"/>
              <w:right w:val="single" w:sz="4" w:space="0" w:color="auto"/>
            </w:tcBorders>
            <w:shd w:val="clear" w:color="000000" w:fill="FFFFFF"/>
            <w:vAlign w:val="bottom"/>
            <w:hideMark/>
          </w:tcPr>
          <w:p w14:paraId="2A52784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umożliwiające izolację RNA z bakterii o najwyższej integralności </w:t>
            </w:r>
          </w:p>
        </w:tc>
        <w:tc>
          <w:tcPr>
            <w:tcW w:w="7264" w:type="dxa"/>
            <w:tcBorders>
              <w:top w:val="nil"/>
              <w:left w:val="nil"/>
              <w:bottom w:val="single" w:sz="4" w:space="0" w:color="auto"/>
              <w:right w:val="single" w:sz="4" w:space="0" w:color="auto"/>
            </w:tcBorders>
            <w:shd w:val="clear" w:color="000000" w:fill="FFFFFF"/>
            <w:vAlign w:val="bottom"/>
            <w:hideMark/>
          </w:tcPr>
          <w:p w14:paraId="38DCA92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umożliwiające izolację RNA z bakterii o najwyższej integralności, obecność rekombinowanej DNazy zawartej w kolumnie pozwala na usuwanie DNA z dużą wydajnością, zaś dostępne w zestawie filtry ułatwiają dokładną homogenizację próbki i zmniejszenie jej lepkości, wydajność zestawu: 70 μg RNA gotowego do użycia w technikach RT-PCR oraz Northern blot.</w:t>
            </w:r>
          </w:p>
        </w:tc>
        <w:tc>
          <w:tcPr>
            <w:tcW w:w="1584" w:type="dxa"/>
            <w:tcBorders>
              <w:top w:val="nil"/>
              <w:left w:val="nil"/>
              <w:bottom w:val="single" w:sz="4" w:space="0" w:color="auto"/>
              <w:right w:val="single" w:sz="4" w:space="0" w:color="auto"/>
            </w:tcBorders>
            <w:shd w:val="clear" w:color="000000" w:fill="FFFFFF"/>
            <w:vAlign w:val="bottom"/>
            <w:hideMark/>
          </w:tcPr>
          <w:p w14:paraId="045174C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50 izolacji</w:t>
            </w:r>
          </w:p>
        </w:tc>
        <w:tc>
          <w:tcPr>
            <w:tcW w:w="787" w:type="dxa"/>
            <w:tcBorders>
              <w:top w:val="nil"/>
              <w:left w:val="nil"/>
              <w:bottom w:val="single" w:sz="4" w:space="0" w:color="auto"/>
              <w:right w:val="single" w:sz="4" w:space="0" w:color="auto"/>
            </w:tcBorders>
            <w:shd w:val="clear" w:color="000000" w:fill="FFFFFF"/>
            <w:vAlign w:val="bottom"/>
            <w:hideMark/>
          </w:tcPr>
          <w:p w14:paraId="43FA316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23C472C2" w14:textId="77777777" w:rsidTr="00CB32F5">
        <w:trPr>
          <w:trHeight w:val="14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04F7A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32</w:t>
            </w:r>
          </w:p>
        </w:tc>
        <w:tc>
          <w:tcPr>
            <w:tcW w:w="3129" w:type="dxa"/>
            <w:tcBorders>
              <w:top w:val="nil"/>
              <w:left w:val="nil"/>
              <w:bottom w:val="single" w:sz="4" w:space="0" w:color="auto"/>
              <w:right w:val="single" w:sz="4" w:space="0" w:color="auto"/>
            </w:tcBorders>
            <w:shd w:val="clear" w:color="000000" w:fill="FFFFFF"/>
            <w:vAlign w:val="bottom"/>
            <w:hideMark/>
          </w:tcPr>
          <w:p w14:paraId="319D838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butelki do hodowli komórkowych </w:t>
            </w:r>
          </w:p>
        </w:tc>
        <w:tc>
          <w:tcPr>
            <w:tcW w:w="7264" w:type="dxa"/>
            <w:tcBorders>
              <w:top w:val="nil"/>
              <w:left w:val="nil"/>
              <w:bottom w:val="single" w:sz="4" w:space="0" w:color="auto"/>
              <w:right w:val="single" w:sz="4" w:space="0" w:color="auto"/>
            </w:tcBorders>
            <w:shd w:val="clear" w:color="000000" w:fill="FFFFFF"/>
            <w:vAlign w:val="bottom"/>
            <w:hideMark/>
          </w:tcPr>
          <w:p w14:paraId="02CBC549" w14:textId="2AE91A91"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Sterylne butelki do hodowli komórkowych wykonane z krystalicznie przejrzystego PS. Zapewniają jednolitą powierzchnię wzrostu. Stabilne – można układać jedna na drugiej. Wyposażone w podziałkę i pole opisowe. Odpowiednio wyprofilowana szyjka umożliwia łatwy dostęp do wnętrza butelki pipetą bądź łopatką. Powierzchnia wzrostu: 25 cm² max obj.: 60 ml  </w:t>
            </w:r>
          </w:p>
        </w:tc>
        <w:tc>
          <w:tcPr>
            <w:tcW w:w="1584" w:type="dxa"/>
            <w:tcBorders>
              <w:top w:val="nil"/>
              <w:left w:val="nil"/>
              <w:bottom w:val="single" w:sz="4" w:space="0" w:color="auto"/>
              <w:right w:val="single" w:sz="4" w:space="0" w:color="auto"/>
            </w:tcBorders>
            <w:shd w:val="clear" w:color="000000" w:fill="FFFFFF"/>
            <w:vAlign w:val="bottom"/>
            <w:hideMark/>
          </w:tcPr>
          <w:p w14:paraId="5E5C42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36x 10 sztuk</w:t>
            </w:r>
          </w:p>
        </w:tc>
        <w:tc>
          <w:tcPr>
            <w:tcW w:w="787" w:type="dxa"/>
            <w:tcBorders>
              <w:top w:val="nil"/>
              <w:left w:val="nil"/>
              <w:bottom w:val="single" w:sz="4" w:space="0" w:color="auto"/>
              <w:right w:val="single" w:sz="4" w:space="0" w:color="auto"/>
            </w:tcBorders>
            <w:shd w:val="clear" w:color="000000" w:fill="FFFFFF"/>
            <w:vAlign w:val="bottom"/>
            <w:hideMark/>
          </w:tcPr>
          <w:p w14:paraId="1480944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DC7A69C"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2733A9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33</w:t>
            </w:r>
          </w:p>
        </w:tc>
        <w:tc>
          <w:tcPr>
            <w:tcW w:w="3129" w:type="dxa"/>
            <w:tcBorders>
              <w:top w:val="nil"/>
              <w:left w:val="nil"/>
              <w:bottom w:val="single" w:sz="4" w:space="0" w:color="auto"/>
              <w:right w:val="single" w:sz="4" w:space="0" w:color="auto"/>
            </w:tcBorders>
            <w:shd w:val="clear" w:color="000000" w:fill="FFFFFF"/>
            <w:vAlign w:val="bottom"/>
            <w:hideMark/>
          </w:tcPr>
          <w:p w14:paraId="599BA2F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butelki do hodowli komórkowych </w:t>
            </w:r>
          </w:p>
        </w:tc>
        <w:tc>
          <w:tcPr>
            <w:tcW w:w="7264" w:type="dxa"/>
            <w:tcBorders>
              <w:top w:val="nil"/>
              <w:left w:val="nil"/>
              <w:bottom w:val="single" w:sz="4" w:space="0" w:color="auto"/>
              <w:right w:val="single" w:sz="4" w:space="0" w:color="auto"/>
            </w:tcBorders>
            <w:shd w:val="clear" w:color="000000" w:fill="FFFFFF"/>
            <w:vAlign w:val="bottom"/>
            <w:hideMark/>
          </w:tcPr>
          <w:p w14:paraId="42C713E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Sterylne butelki do hodowli komórkowych wykonane z krystalicznie przejrzystego PS. Zapewniają jednolitą powierzchnię wzrostu. Stabilne – można układać jedna na drugiej. Wyposażone w podziałkę i pole opisowe. Odpowiednio wyprofilowana szyjka umożliwia łatwy dostęp do wnętrza butelki pipetą bądź łopatką. Powierzchnia wzrostu: 75 cm² max obj.: 270 ml </w:t>
            </w:r>
          </w:p>
        </w:tc>
        <w:tc>
          <w:tcPr>
            <w:tcW w:w="1584" w:type="dxa"/>
            <w:tcBorders>
              <w:top w:val="nil"/>
              <w:left w:val="nil"/>
              <w:bottom w:val="single" w:sz="4" w:space="0" w:color="auto"/>
              <w:right w:val="single" w:sz="4" w:space="0" w:color="auto"/>
            </w:tcBorders>
            <w:shd w:val="clear" w:color="000000" w:fill="FFFFFF"/>
            <w:vAlign w:val="bottom"/>
            <w:hideMark/>
          </w:tcPr>
          <w:p w14:paraId="6A54482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20x 5 sztuk</w:t>
            </w:r>
          </w:p>
        </w:tc>
        <w:tc>
          <w:tcPr>
            <w:tcW w:w="787" w:type="dxa"/>
            <w:tcBorders>
              <w:top w:val="nil"/>
              <w:left w:val="nil"/>
              <w:bottom w:val="single" w:sz="4" w:space="0" w:color="auto"/>
              <w:right w:val="single" w:sz="4" w:space="0" w:color="auto"/>
            </w:tcBorders>
            <w:shd w:val="clear" w:color="000000" w:fill="FFFFFF"/>
            <w:vAlign w:val="bottom"/>
            <w:hideMark/>
          </w:tcPr>
          <w:p w14:paraId="3E61174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63F38AC"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F4F8D0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34</w:t>
            </w:r>
          </w:p>
        </w:tc>
        <w:tc>
          <w:tcPr>
            <w:tcW w:w="3129" w:type="dxa"/>
            <w:tcBorders>
              <w:top w:val="nil"/>
              <w:left w:val="nil"/>
              <w:bottom w:val="single" w:sz="4" w:space="0" w:color="auto"/>
              <w:right w:val="single" w:sz="4" w:space="0" w:color="auto"/>
            </w:tcBorders>
            <w:shd w:val="clear" w:color="000000" w:fill="FFFFFF"/>
            <w:vAlign w:val="bottom"/>
            <w:hideMark/>
          </w:tcPr>
          <w:p w14:paraId="09E1538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taśma uszczelniająca do szalek Petriego </w:t>
            </w:r>
          </w:p>
        </w:tc>
        <w:tc>
          <w:tcPr>
            <w:tcW w:w="7264" w:type="dxa"/>
            <w:tcBorders>
              <w:top w:val="nil"/>
              <w:left w:val="nil"/>
              <w:bottom w:val="single" w:sz="4" w:space="0" w:color="auto"/>
              <w:right w:val="single" w:sz="4" w:space="0" w:color="auto"/>
            </w:tcBorders>
            <w:shd w:val="clear" w:color="000000" w:fill="FFFFFF"/>
            <w:vAlign w:val="bottom"/>
            <w:hideMark/>
          </w:tcPr>
          <w:p w14:paraId="244D442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Taśma uszczelniająca elastyczna, samoprzylepna. Także do mikrotestów, butelek, puszek itd. Doskonała alternatywa dla mankietów kurczących się pod wpływem ciepła. Zapobiega stratom wody, dyfuzji gazów i zanieczyszczeniom. Wodoszczelna i odporna na działanie większości rozpuszczalników. Elastyczna nawet pod działaniem niskich temperatur (-30°C).</w:t>
            </w:r>
          </w:p>
        </w:tc>
        <w:tc>
          <w:tcPr>
            <w:tcW w:w="1584" w:type="dxa"/>
            <w:tcBorders>
              <w:top w:val="nil"/>
              <w:left w:val="nil"/>
              <w:bottom w:val="single" w:sz="4" w:space="0" w:color="auto"/>
              <w:right w:val="single" w:sz="4" w:space="0" w:color="auto"/>
            </w:tcBorders>
            <w:shd w:val="clear" w:color="000000" w:fill="FFFFFF"/>
            <w:vAlign w:val="bottom"/>
            <w:hideMark/>
          </w:tcPr>
          <w:p w14:paraId="433D0A5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17C1F0C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5973D54" w14:textId="77777777" w:rsidTr="00E63D1D">
        <w:trPr>
          <w:trHeight w:val="94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26DD64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35</w:t>
            </w:r>
          </w:p>
        </w:tc>
        <w:tc>
          <w:tcPr>
            <w:tcW w:w="3129" w:type="dxa"/>
            <w:tcBorders>
              <w:top w:val="nil"/>
              <w:left w:val="nil"/>
              <w:bottom w:val="single" w:sz="4" w:space="0" w:color="auto"/>
              <w:right w:val="single" w:sz="4" w:space="0" w:color="auto"/>
            </w:tcBorders>
            <w:shd w:val="clear" w:color="000000" w:fill="FFFFFF"/>
            <w:vAlign w:val="bottom"/>
            <w:hideMark/>
          </w:tcPr>
          <w:p w14:paraId="0AC3548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parafilm</w:t>
            </w:r>
          </w:p>
        </w:tc>
        <w:tc>
          <w:tcPr>
            <w:tcW w:w="7264" w:type="dxa"/>
            <w:tcBorders>
              <w:top w:val="nil"/>
              <w:left w:val="nil"/>
              <w:bottom w:val="single" w:sz="4" w:space="0" w:color="auto"/>
              <w:right w:val="single" w:sz="4" w:space="0" w:color="auto"/>
            </w:tcBorders>
            <w:shd w:val="clear" w:color="000000" w:fill="FFFFFF"/>
            <w:vAlign w:val="bottom"/>
            <w:hideMark/>
          </w:tcPr>
          <w:p w14:paraId="028F02AF" w14:textId="4BACEC3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Uniwersalna, funkcjonalna folia do zabezpieczania probówek i innych naczyń reakcyjnych. Parafilm® M daje się rozciągnąć do 200%. Przylega szczelnie nawet do nieregularnych kształtów. Odporny na roztwory solne, kwasy nieorganiczne i ługi do 48 godz., wymiar: 100 mm x 75 m</w:t>
            </w:r>
          </w:p>
        </w:tc>
        <w:tc>
          <w:tcPr>
            <w:tcW w:w="1584" w:type="dxa"/>
            <w:tcBorders>
              <w:top w:val="nil"/>
              <w:left w:val="nil"/>
              <w:bottom w:val="single" w:sz="4" w:space="0" w:color="auto"/>
              <w:right w:val="single" w:sz="4" w:space="0" w:color="auto"/>
            </w:tcBorders>
            <w:shd w:val="clear" w:color="000000" w:fill="FFFFFF"/>
            <w:vAlign w:val="bottom"/>
            <w:hideMark/>
          </w:tcPr>
          <w:p w14:paraId="4366B12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vAlign w:val="bottom"/>
            <w:hideMark/>
          </w:tcPr>
          <w:p w14:paraId="55A77DF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7F169BB"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6186A8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36</w:t>
            </w:r>
          </w:p>
        </w:tc>
        <w:tc>
          <w:tcPr>
            <w:tcW w:w="3129" w:type="dxa"/>
            <w:tcBorders>
              <w:top w:val="nil"/>
              <w:left w:val="nil"/>
              <w:bottom w:val="single" w:sz="4" w:space="0" w:color="auto"/>
              <w:right w:val="single" w:sz="4" w:space="0" w:color="auto"/>
            </w:tcBorders>
            <w:shd w:val="clear" w:color="000000" w:fill="FFFFFF"/>
            <w:vAlign w:val="bottom"/>
            <w:hideMark/>
          </w:tcPr>
          <w:p w14:paraId="51BB7A8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białka z metryczką His</w:t>
            </w:r>
          </w:p>
        </w:tc>
        <w:tc>
          <w:tcPr>
            <w:tcW w:w="7264" w:type="dxa"/>
            <w:tcBorders>
              <w:top w:val="nil"/>
              <w:left w:val="nil"/>
              <w:bottom w:val="single" w:sz="4" w:space="0" w:color="auto"/>
              <w:right w:val="single" w:sz="4" w:space="0" w:color="auto"/>
            </w:tcBorders>
            <w:shd w:val="clear" w:color="000000" w:fill="FFFFFF"/>
            <w:vAlign w:val="bottom"/>
            <w:hideMark/>
          </w:tcPr>
          <w:p w14:paraId="20599EA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umożliwiający uzyskanie białek His-Tag o najwyższej czystości. Posiada chelatujące grupy TED (tris(karboksymetylo)etylenodiaminowe) o jednym miejscu wiązania białka, co zapewnia najwyższą czystość i selektywność.                     </w:t>
            </w:r>
          </w:p>
        </w:tc>
        <w:tc>
          <w:tcPr>
            <w:tcW w:w="1584" w:type="dxa"/>
            <w:tcBorders>
              <w:top w:val="nil"/>
              <w:left w:val="nil"/>
              <w:bottom w:val="single" w:sz="4" w:space="0" w:color="auto"/>
              <w:right w:val="single" w:sz="4" w:space="0" w:color="auto"/>
            </w:tcBorders>
            <w:shd w:val="clear" w:color="000000" w:fill="FFFFFF"/>
            <w:vAlign w:val="bottom"/>
            <w:hideMark/>
          </w:tcPr>
          <w:p w14:paraId="292883A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50 izolacji</w:t>
            </w:r>
          </w:p>
        </w:tc>
        <w:tc>
          <w:tcPr>
            <w:tcW w:w="787" w:type="dxa"/>
            <w:tcBorders>
              <w:top w:val="nil"/>
              <w:left w:val="nil"/>
              <w:bottom w:val="single" w:sz="4" w:space="0" w:color="auto"/>
              <w:right w:val="single" w:sz="4" w:space="0" w:color="auto"/>
            </w:tcBorders>
            <w:shd w:val="clear" w:color="000000" w:fill="FFFFFF"/>
            <w:vAlign w:val="bottom"/>
            <w:hideMark/>
          </w:tcPr>
          <w:p w14:paraId="124F515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52B473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371D19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37</w:t>
            </w:r>
          </w:p>
        </w:tc>
        <w:tc>
          <w:tcPr>
            <w:tcW w:w="3129" w:type="dxa"/>
            <w:tcBorders>
              <w:top w:val="nil"/>
              <w:left w:val="nil"/>
              <w:bottom w:val="single" w:sz="4" w:space="0" w:color="auto"/>
              <w:right w:val="single" w:sz="4" w:space="0" w:color="auto"/>
            </w:tcBorders>
            <w:shd w:val="clear" w:color="000000" w:fill="FFFFFF"/>
            <w:vAlign w:val="bottom"/>
            <w:hideMark/>
          </w:tcPr>
          <w:p w14:paraId="5082A9E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białka z metryczką His</w:t>
            </w:r>
          </w:p>
        </w:tc>
        <w:tc>
          <w:tcPr>
            <w:tcW w:w="7264" w:type="dxa"/>
            <w:tcBorders>
              <w:top w:val="nil"/>
              <w:left w:val="nil"/>
              <w:bottom w:val="single" w:sz="4" w:space="0" w:color="auto"/>
              <w:right w:val="single" w:sz="4" w:space="0" w:color="auto"/>
            </w:tcBorders>
            <w:shd w:val="clear" w:color="000000" w:fill="FFFFFF"/>
            <w:vAlign w:val="bottom"/>
            <w:hideMark/>
          </w:tcPr>
          <w:p w14:paraId="3FBDF7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Protino® Ni-TED 1000 to narzędzie umożliwiające uzyskanie białek His-Tag o najwyższej czystości. Posiada chelatujące grupy TED (tris(karboksymetylo)etylenodiaminowe) o jednym miejscu wiązania białka, co zapewnia najwyższą czystość i selektywność.                     </w:t>
            </w:r>
          </w:p>
        </w:tc>
        <w:tc>
          <w:tcPr>
            <w:tcW w:w="1584" w:type="dxa"/>
            <w:tcBorders>
              <w:top w:val="nil"/>
              <w:left w:val="nil"/>
              <w:bottom w:val="single" w:sz="4" w:space="0" w:color="auto"/>
              <w:right w:val="single" w:sz="4" w:space="0" w:color="auto"/>
            </w:tcBorders>
            <w:shd w:val="clear" w:color="000000" w:fill="FFFFFF"/>
            <w:vAlign w:val="bottom"/>
            <w:hideMark/>
          </w:tcPr>
          <w:p w14:paraId="75BA08F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50 izolacji</w:t>
            </w:r>
          </w:p>
        </w:tc>
        <w:tc>
          <w:tcPr>
            <w:tcW w:w="787" w:type="dxa"/>
            <w:tcBorders>
              <w:top w:val="nil"/>
              <w:left w:val="nil"/>
              <w:bottom w:val="single" w:sz="4" w:space="0" w:color="auto"/>
              <w:right w:val="single" w:sz="4" w:space="0" w:color="auto"/>
            </w:tcBorders>
            <w:shd w:val="clear" w:color="000000" w:fill="FFFFFF"/>
            <w:vAlign w:val="bottom"/>
            <w:hideMark/>
          </w:tcPr>
          <w:p w14:paraId="7CF7455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FF3652F" w14:textId="77777777" w:rsidTr="00CB32F5">
        <w:trPr>
          <w:trHeight w:val="300"/>
        </w:trPr>
        <w:tc>
          <w:tcPr>
            <w:tcW w:w="626" w:type="dxa"/>
            <w:tcBorders>
              <w:top w:val="nil"/>
              <w:left w:val="nil"/>
              <w:bottom w:val="nil"/>
              <w:right w:val="nil"/>
            </w:tcBorders>
            <w:shd w:val="clear" w:color="auto" w:fill="auto"/>
            <w:noWrap/>
            <w:vAlign w:val="bottom"/>
            <w:hideMark/>
          </w:tcPr>
          <w:p w14:paraId="5857B62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p>
        </w:tc>
        <w:tc>
          <w:tcPr>
            <w:tcW w:w="3129" w:type="dxa"/>
            <w:tcBorders>
              <w:top w:val="nil"/>
              <w:left w:val="nil"/>
              <w:bottom w:val="nil"/>
              <w:right w:val="nil"/>
            </w:tcBorders>
            <w:shd w:val="clear" w:color="auto" w:fill="auto"/>
            <w:vAlign w:val="bottom"/>
            <w:hideMark/>
          </w:tcPr>
          <w:p w14:paraId="37F4310A"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2E0A26EC"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single" w:sz="4" w:space="0" w:color="auto"/>
              <w:bottom w:val="single" w:sz="4" w:space="0" w:color="auto"/>
              <w:right w:val="single" w:sz="4" w:space="0" w:color="auto"/>
            </w:tcBorders>
            <w:shd w:val="clear" w:color="000000" w:fill="D9D9D9"/>
            <w:noWrap/>
            <w:vAlign w:val="bottom"/>
            <w:hideMark/>
          </w:tcPr>
          <w:p w14:paraId="568400DA" w14:textId="77777777" w:rsidR="00CB32F5" w:rsidRPr="00CB32F5" w:rsidRDefault="00CB32F5" w:rsidP="00CB32F5">
            <w:pPr>
              <w:spacing w:after="0" w:line="240" w:lineRule="auto"/>
              <w:jc w:val="center"/>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SUMA</w:t>
            </w:r>
          </w:p>
        </w:tc>
        <w:tc>
          <w:tcPr>
            <w:tcW w:w="787" w:type="dxa"/>
            <w:tcBorders>
              <w:top w:val="nil"/>
              <w:left w:val="nil"/>
              <w:bottom w:val="single" w:sz="4" w:space="0" w:color="auto"/>
              <w:right w:val="single" w:sz="4" w:space="0" w:color="auto"/>
            </w:tcBorders>
            <w:shd w:val="clear" w:color="000000" w:fill="D9D9D9"/>
            <w:noWrap/>
            <w:vAlign w:val="bottom"/>
            <w:hideMark/>
          </w:tcPr>
          <w:p w14:paraId="21219239" w14:textId="77777777" w:rsidR="00CB32F5" w:rsidRPr="00CB32F5" w:rsidRDefault="00CB32F5" w:rsidP="00CB32F5">
            <w:pPr>
              <w:spacing w:after="0" w:line="240" w:lineRule="auto"/>
              <w:jc w:val="center"/>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 </w:t>
            </w:r>
          </w:p>
        </w:tc>
      </w:tr>
      <w:tr w:rsidR="00CB32F5" w:rsidRPr="00CB32F5" w14:paraId="7D7738E7" w14:textId="77777777" w:rsidTr="00CB32F5">
        <w:trPr>
          <w:trHeight w:val="300"/>
        </w:trPr>
        <w:tc>
          <w:tcPr>
            <w:tcW w:w="626" w:type="dxa"/>
            <w:tcBorders>
              <w:top w:val="nil"/>
              <w:left w:val="nil"/>
              <w:bottom w:val="nil"/>
              <w:right w:val="nil"/>
            </w:tcBorders>
            <w:shd w:val="clear" w:color="auto" w:fill="auto"/>
            <w:noWrap/>
            <w:vAlign w:val="bottom"/>
            <w:hideMark/>
          </w:tcPr>
          <w:p w14:paraId="577D72B2" w14:textId="77777777" w:rsidR="00CB32F5" w:rsidRPr="00CB32F5" w:rsidRDefault="00CB32F5" w:rsidP="00CB32F5">
            <w:pPr>
              <w:spacing w:after="0" w:line="240" w:lineRule="auto"/>
              <w:jc w:val="center"/>
              <w:rPr>
                <w:rFonts w:ascii="Calibri" w:eastAsia="Times New Roman" w:hAnsi="Calibri" w:cs="Calibri"/>
                <w:b/>
                <w:bCs/>
                <w:color w:val="000000"/>
                <w:lang w:eastAsia="pl-PL"/>
              </w:rPr>
            </w:pPr>
          </w:p>
        </w:tc>
        <w:tc>
          <w:tcPr>
            <w:tcW w:w="3129" w:type="dxa"/>
            <w:tcBorders>
              <w:top w:val="nil"/>
              <w:left w:val="nil"/>
              <w:bottom w:val="nil"/>
              <w:right w:val="nil"/>
            </w:tcBorders>
            <w:shd w:val="clear" w:color="auto" w:fill="auto"/>
            <w:vAlign w:val="bottom"/>
            <w:hideMark/>
          </w:tcPr>
          <w:p w14:paraId="02A60078"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356C9AFD"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2282B9E0"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0C218851"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285C7F30"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61CEFFEF"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5D3D6424"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17379DA2" w14:textId="225C18FD" w:rsidR="00CB32F5" w:rsidRPr="00CB32F5" w:rsidRDefault="00E63D1D"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Opis cech artykułu lub ró</w:t>
            </w:r>
            <w:r>
              <w:rPr>
                <w:rFonts w:ascii="Calibri" w:eastAsia="Times New Roman" w:hAnsi="Calibri" w:cs="Calibri"/>
                <w:b/>
                <w:bCs/>
                <w:color w:val="000000"/>
                <w:sz w:val="18"/>
                <w:szCs w:val="18"/>
                <w:lang w:eastAsia="pl-PL"/>
              </w:rPr>
              <w:t>wnoważnego</w:t>
            </w:r>
            <w:r w:rsidRPr="00CB32F5">
              <w:rPr>
                <w:rFonts w:ascii="Calibri" w:eastAsia="Times New Roman" w:hAnsi="Calibri" w:cs="Calibri"/>
                <w:b/>
                <w:bCs/>
                <w:color w:val="000000"/>
                <w:sz w:val="18"/>
                <w:szCs w:val="18"/>
                <w:lang w:eastAsia="pl-PL"/>
              </w:rPr>
              <w:t xml:space="preserve"> artykułu</w:t>
            </w:r>
          </w:p>
        </w:tc>
        <w:tc>
          <w:tcPr>
            <w:tcW w:w="1584" w:type="dxa"/>
            <w:tcBorders>
              <w:top w:val="single" w:sz="4" w:space="0" w:color="auto"/>
              <w:left w:val="nil"/>
              <w:bottom w:val="single" w:sz="4" w:space="0" w:color="auto"/>
              <w:right w:val="single" w:sz="4" w:space="0" w:color="auto"/>
            </w:tcBorders>
            <w:shd w:val="clear" w:color="000000" w:fill="B4C6E7"/>
            <w:vAlign w:val="bottom"/>
            <w:hideMark/>
          </w:tcPr>
          <w:p w14:paraId="4BA7208D"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bottom"/>
            <w:hideMark/>
          </w:tcPr>
          <w:p w14:paraId="65988CC0"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7ED23932"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7F881B5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238CEC30"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3: Zestaw: podłoża mikrobiologiczne i dodatki do nich</w:t>
            </w:r>
          </w:p>
        </w:tc>
        <w:tc>
          <w:tcPr>
            <w:tcW w:w="1584" w:type="dxa"/>
            <w:tcBorders>
              <w:top w:val="nil"/>
              <w:left w:val="nil"/>
              <w:bottom w:val="single" w:sz="4" w:space="0" w:color="auto"/>
              <w:right w:val="nil"/>
            </w:tcBorders>
            <w:shd w:val="clear" w:color="000000" w:fill="D9D9D9"/>
            <w:noWrap/>
            <w:vAlign w:val="bottom"/>
            <w:hideMark/>
          </w:tcPr>
          <w:p w14:paraId="704DA75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6E1A378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5438B47A" w14:textId="77777777" w:rsidTr="00CB32F5">
        <w:trPr>
          <w:trHeight w:val="19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1E921A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vAlign w:val="bottom"/>
            <w:hideMark/>
          </w:tcPr>
          <w:p w14:paraId="47BE0D6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proteinowy 3-barwnikowy</w:t>
            </w:r>
          </w:p>
        </w:tc>
        <w:tc>
          <w:tcPr>
            <w:tcW w:w="7264" w:type="dxa"/>
            <w:tcBorders>
              <w:top w:val="nil"/>
              <w:left w:val="nil"/>
              <w:bottom w:val="single" w:sz="4" w:space="0" w:color="auto"/>
              <w:right w:val="single" w:sz="4" w:space="0" w:color="auto"/>
            </w:tcBorders>
            <w:shd w:val="clear" w:color="000000" w:fill="FFFFFF"/>
            <w:vAlign w:val="bottom"/>
            <w:hideMark/>
          </w:tcPr>
          <w:p w14:paraId="6115895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wstępnie barwiony wzorzec wielkości białek, złożony z precyzyjnie rozmieszczonych zrekombinowanych prążków białkowych, przeznaczony do określania wielkości polipeptydów w zakresie od 10 kDa do 245 kDa, to dwanaście prążków odpowiadających rozmiarowi białek: 11, 17, 20, 25, 35, 48, 63, 75, 100, 135, 180 i 245 kDa. Prążek 25 kDa jest kowalencyjnie sprzężony z zielonym barwnikiem, podczas gdy prążek 75 kDa jest kowalencyjnie sprzężony z pomarańczowym barwnikiem. Pozostałe prążki są kowalencyjnie połączone z niebieskim barwnikiem. Dostępny w gotowym do użycia formacie.</w:t>
            </w:r>
          </w:p>
        </w:tc>
        <w:tc>
          <w:tcPr>
            <w:tcW w:w="1584" w:type="dxa"/>
            <w:tcBorders>
              <w:top w:val="nil"/>
              <w:left w:val="nil"/>
              <w:bottom w:val="single" w:sz="4" w:space="0" w:color="auto"/>
              <w:right w:val="single" w:sz="4" w:space="0" w:color="auto"/>
            </w:tcBorders>
            <w:shd w:val="clear" w:color="000000" w:fill="FFFFFF"/>
            <w:vAlign w:val="bottom"/>
            <w:hideMark/>
          </w:tcPr>
          <w:p w14:paraId="1243267A"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szt. - 50 ścieżek</w:t>
            </w:r>
          </w:p>
        </w:tc>
        <w:tc>
          <w:tcPr>
            <w:tcW w:w="787" w:type="dxa"/>
            <w:tcBorders>
              <w:top w:val="nil"/>
              <w:left w:val="nil"/>
              <w:bottom w:val="single" w:sz="4" w:space="0" w:color="auto"/>
              <w:right w:val="single" w:sz="4" w:space="0" w:color="auto"/>
            </w:tcBorders>
            <w:shd w:val="clear" w:color="000000" w:fill="FFFFFF"/>
            <w:vAlign w:val="bottom"/>
            <w:hideMark/>
          </w:tcPr>
          <w:p w14:paraId="3527D59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1816BC12"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E708AE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2</w:t>
            </w:r>
          </w:p>
        </w:tc>
        <w:tc>
          <w:tcPr>
            <w:tcW w:w="3129" w:type="dxa"/>
            <w:tcBorders>
              <w:top w:val="nil"/>
              <w:left w:val="nil"/>
              <w:bottom w:val="single" w:sz="4" w:space="0" w:color="auto"/>
              <w:right w:val="single" w:sz="4" w:space="0" w:color="auto"/>
            </w:tcBorders>
            <w:shd w:val="clear" w:color="000000" w:fill="FFFFFF"/>
            <w:vAlign w:val="bottom"/>
            <w:hideMark/>
          </w:tcPr>
          <w:p w14:paraId="5E8CBC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DNA 50-500 bp</w:t>
            </w:r>
          </w:p>
        </w:tc>
        <w:tc>
          <w:tcPr>
            <w:tcW w:w="7264" w:type="dxa"/>
            <w:tcBorders>
              <w:top w:val="nil"/>
              <w:left w:val="nil"/>
              <w:bottom w:val="single" w:sz="4" w:space="0" w:color="auto"/>
              <w:right w:val="single" w:sz="4" w:space="0" w:color="auto"/>
            </w:tcBorders>
            <w:shd w:val="clear" w:color="000000" w:fill="FFFFFF"/>
            <w:vAlign w:val="bottom"/>
            <w:hideMark/>
          </w:tcPr>
          <w:p w14:paraId="5825372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wzorzec wielkości DNA do oznaczania małych fragmentów DNA, Składa się z 5 prążków o rozmiarach 50, 100, 250, 400 i 500 pz. Dla łatwego odniesienia, fragment DNA 250 pz jest trzy razy jaśniejszy niż pozostałe. Wzorzec wielkości jest dostarczany w formacie gotowym do załadowania na żel.</w:t>
            </w:r>
          </w:p>
        </w:tc>
        <w:tc>
          <w:tcPr>
            <w:tcW w:w="1584" w:type="dxa"/>
            <w:tcBorders>
              <w:top w:val="nil"/>
              <w:left w:val="nil"/>
              <w:bottom w:val="single" w:sz="4" w:space="0" w:color="auto"/>
              <w:right w:val="single" w:sz="4" w:space="0" w:color="auto"/>
            </w:tcBorders>
            <w:shd w:val="clear" w:color="000000" w:fill="FFFFFF"/>
            <w:vAlign w:val="bottom"/>
            <w:hideMark/>
          </w:tcPr>
          <w:p w14:paraId="26C29F2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500 ścieżek</w:t>
            </w:r>
          </w:p>
        </w:tc>
        <w:tc>
          <w:tcPr>
            <w:tcW w:w="787" w:type="dxa"/>
            <w:tcBorders>
              <w:top w:val="nil"/>
              <w:left w:val="nil"/>
              <w:bottom w:val="single" w:sz="4" w:space="0" w:color="auto"/>
              <w:right w:val="single" w:sz="4" w:space="0" w:color="auto"/>
            </w:tcBorders>
            <w:shd w:val="clear" w:color="000000" w:fill="FFFFFF"/>
            <w:vAlign w:val="bottom"/>
            <w:hideMark/>
          </w:tcPr>
          <w:p w14:paraId="1361556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0597544" w14:textId="77777777" w:rsidTr="00E63D1D">
        <w:trPr>
          <w:trHeight w:val="2692"/>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B39BBF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vAlign w:val="bottom"/>
            <w:hideMark/>
          </w:tcPr>
          <w:p w14:paraId="30ED63E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DNA po reakcjach enzymatycznych i PCR</w:t>
            </w:r>
          </w:p>
        </w:tc>
        <w:tc>
          <w:tcPr>
            <w:tcW w:w="7264" w:type="dxa"/>
            <w:tcBorders>
              <w:top w:val="nil"/>
              <w:left w:val="nil"/>
              <w:bottom w:val="single" w:sz="4" w:space="0" w:color="auto"/>
              <w:right w:val="single" w:sz="4" w:space="0" w:color="auto"/>
            </w:tcBorders>
            <w:shd w:val="clear" w:color="000000" w:fill="FFFFFF"/>
            <w:vAlign w:val="bottom"/>
            <w:hideMark/>
          </w:tcPr>
          <w:p w14:paraId="1E1F497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oczyszczenie m. in. produktów PCR, fragmentów restrykcyjnych, molekuł DNA po obróbce enzymatycznej oraz znakowaniu izotopowym lub chemicznym. Zabarwiony bufor szczególnie ułatwia jednoczesną pracę z wieloma próbkami. Zestaw pozwala na efektywnie usuwane z próbki DNA wielu zanieczyszczeń. Zestaw jest zoptymalizowany w celu wiązania fragmentów DNA w szerokim zakresie wielkości (od 100 bp do ponad 15 kb) oraz w celu usuwania sprawiających szczególne trudności inhibitorów restrykcji i ligacji DNA. Podczas krótkiego wirowania następuje wiązanie DNA do membran,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315280A6"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451E240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5D186954" w14:textId="77777777" w:rsidTr="00CB32F5">
        <w:trPr>
          <w:trHeight w:val="33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2F47F2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28BFDA8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DNA po elektroforezie w żelu agarozowym</w:t>
            </w:r>
          </w:p>
        </w:tc>
        <w:tc>
          <w:tcPr>
            <w:tcW w:w="7264" w:type="dxa"/>
            <w:tcBorders>
              <w:top w:val="nil"/>
              <w:left w:val="nil"/>
              <w:bottom w:val="single" w:sz="4" w:space="0" w:color="auto"/>
              <w:right w:val="single" w:sz="4" w:space="0" w:color="auto"/>
            </w:tcBorders>
            <w:shd w:val="clear" w:color="000000" w:fill="FFFFFF"/>
            <w:vAlign w:val="bottom"/>
            <w:hideMark/>
          </w:tcPr>
          <w:p w14:paraId="632E7C2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oczyszczenie liniowych lub kolistych cząsteczek DNA o wielkości od ok. 100 pz do ponad 10 kpz, rozdzielanych na TAE- lub TBE-żelu agarozowym. Zabarwiony bufor ułatwia śledzenie postępu rozpuszczania agarozy oraz jednoczesną pracę z wieloma próbkami. Poza usunięciem agarozy, z próbki DNA efektywnie usuwanych jest wiele zanieczyszczeń. Dodanie specjalnego buforu wytwarza warunki do selektywnego wiązania DNA do membran. Podczas krótkiego wirowania następuje wiązanie DNA do membrany, natomiast niezwiązana, rozpuszczona agaroza oraz inne zanieczyszczenia pozostają w wycieku z kolumny. Ich śladowe pozostalości na membranie są skutecznie usuwane w trakcie dwóch etapów płukania. Użyte zloże jest zaprojektowane pod kątem skutecznego usuwania inhibitorów restrykcji i ligacji DNA.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095CBBBC"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459AC22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2C28C291" w14:textId="77777777" w:rsidTr="00CB32F5">
        <w:trPr>
          <w:trHeight w:val="33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C8D96B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5</w:t>
            </w:r>
          </w:p>
        </w:tc>
        <w:tc>
          <w:tcPr>
            <w:tcW w:w="3129" w:type="dxa"/>
            <w:tcBorders>
              <w:top w:val="nil"/>
              <w:left w:val="nil"/>
              <w:bottom w:val="single" w:sz="4" w:space="0" w:color="auto"/>
              <w:right w:val="single" w:sz="4" w:space="0" w:color="auto"/>
            </w:tcBorders>
            <w:shd w:val="clear" w:color="000000" w:fill="FFFFFF"/>
            <w:vAlign w:val="bottom"/>
            <w:hideMark/>
          </w:tcPr>
          <w:p w14:paraId="2EDB536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genomowego DNA z bakterii</w:t>
            </w:r>
          </w:p>
        </w:tc>
        <w:tc>
          <w:tcPr>
            <w:tcW w:w="7264" w:type="dxa"/>
            <w:tcBorders>
              <w:top w:val="nil"/>
              <w:left w:val="nil"/>
              <w:bottom w:val="single" w:sz="4" w:space="0" w:color="auto"/>
              <w:right w:val="single" w:sz="4" w:space="0" w:color="auto"/>
            </w:tcBorders>
            <w:shd w:val="clear" w:color="000000" w:fill="FFFFFF"/>
            <w:vAlign w:val="bottom"/>
            <w:hideMark/>
          </w:tcPr>
          <w:p w14:paraId="2F1B725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jest przeznaczony do szybkiej izolacji genomowego DNA z różnorodnych grup fizjologicznych bakterii oraz różnorodnych gatunków i szczepów drożdży. Oczyszczone DNA nie zawiera zanieczyszczeń m.in. takich jak: RNA, białka, lipidy, barwniki, detergenty, organiczne inhibitory enzymów, związki buforowe, sole, kationy dwuwartościowe. Próbka poddana zostaje lizie w obecności specjalnego buforu naruszającego strukturę ściany komórkowej. Proteinaza K degraduje białka komórkowe oraz uwalnia genomowe DNA z wiążących je białek oraz eliminuje nukleazy komórkowe. Dodanie specjalnego buforu wytwarza warunki do selektywnego wiązania DNA do membrany. Podczas krótkiego wirowania następuje wiązanie DNA do membrany,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4AFEE207"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50 izolacji</w:t>
            </w:r>
          </w:p>
        </w:tc>
        <w:tc>
          <w:tcPr>
            <w:tcW w:w="787" w:type="dxa"/>
            <w:tcBorders>
              <w:top w:val="nil"/>
              <w:left w:val="nil"/>
              <w:bottom w:val="single" w:sz="4" w:space="0" w:color="auto"/>
              <w:right w:val="single" w:sz="4" w:space="0" w:color="auto"/>
            </w:tcBorders>
            <w:shd w:val="clear" w:color="000000" w:fill="FFFFFF"/>
            <w:vAlign w:val="bottom"/>
            <w:hideMark/>
          </w:tcPr>
          <w:p w14:paraId="2F31FFA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B8BB237" w14:textId="77777777" w:rsidTr="00CB32F5">
        <w:trPr>
          <w:trHeight w:val="33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2BD10E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c>
          <w:tcPr>
            <w:tcW w:w="3129" w:type="dxa"/>
            <w:tcBorders>
              <w:top w:val="nil"/>
              <w:left w:val="nil"/>
              <w:bottom w:val="single" w:sz="4" w:space="0" w:color="auto"/>
              <w:right w:val="single" w:sz="4" w:space="0" w:color="auto"/>
            </w:tcBorders>
            <w:shd w:val="clear" w:color="000000" w:fill="FFFFFF"/>
            <w:vAlign w:val="bottom"/>
            <w:hideMark/>
          </w:tcPr>
          <w:p w14:paraId="1A3EAB7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plazmidowego DNA (mini)</w:t>
            </w:r>
          </w:p>
        </w:tc>
        <w:tc>
          <w:tcPr>
            <w:tcW w:w="7264" w:type="dxa"/>
            <w:tcBorders>
              <w:top w:val="nil"/>
              <w:left w:val="nil"/>
              <w:bottom w:val="single" w:sz="4" w:space="0" w:color="auto"/>
              <w:right w:val="single" w:sz="4" w:space="0" w:color="auto"/>
            </w:tcBorders>
            <w:shd w:val="clear" w:color="000000" w:fill="FFFFFF"/>
            <w:vAlign w:val="bottom"/>
            <w:hideMark/>
          </w:tcPr>
          <w:p w14:paraId="7145A3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uzyskanie plazmidowego DNA o bardzo wysokiej czystości z różnorodnych gatunków bakterii. Z surowego lizatu bakteryjnego efektywnie usuwane są zanieczyszczenia takie jak: genomowe DNA, RNA, białka, lipidy, barwniki, detergenty, związki buforowe, sole. Komponenty zestawu umozliwiają usuwania uciążliwych inhibitorów restrykcji DNA oraz niespecyficznych endo- i egzonukleaz z lizatu bakteryjnego. Zabarwiony bufor lizujący ułatwia śledzenie dokładności wymieszania zawiesiny bakterii z buforem, postępu uwalniania zawartości komórek oraz jednoczesną pracę z wieloma próbkami. Dodanie specjalnego buforu wytwarza warunki do selektywnego wiązania DNA do membran. Podczas krótkiego wirowania następuje wiązanie DNA,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178BAAAB"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641F304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57796252"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940B81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22E2B7C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bufor do przechowywania RNA</w:t>
            </w:r>
          </w:p>
        </w:tc>
        <w:tc>
          <w:tcPr>
            <w:tcW w:w="7264" w:type="dxa"/>
            <w:tcBorders>
              <w:top w:val="nil"/>
              <w:left w:val="nil"/>
              <w:bottom w:val="single" w:sz="4" w:space="0" w:color="auto"/>
              <w:right w:val="single" w:sz="4" w:space="0" w:color="auto"/>
            </w:tcBorders>
            <w:shd w:val="clear" w:color="000000" w:fill="FFFFFF"/>
            <w:vAlign w:val="bottom"/>
            <w:hideMark/>
          </w:tcPr>
          <w:p w14:paraId="6EB0FEF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 1 mM cytrynian sodu o pH 6.4 na bazie wolnej od nukleaz wody, traktowanej DEPC. Bufor stosowany jest do rozpuszczania i długoterminowego przechowywania RNA po precypitacji, RNA przechowywane w tym buforze może być bezpośrednio użyte do reakcji odwrotnej transkrypcji, RT-qPCR i innych.</w:t>
            </w:r>
          </w:p>
        </w:tc>
        <w:tc>
          <w:tcPr>
            <w:tcW w:w="1584" w:type="dxa"/>
            <w:tcBorders>
              <w:top w:val="nil"/>
              <w:left w:val="nil"/>
              <w:bottom w:val="single" w:sz="4" w:space="0" w:color="auto"/>
              <w:right w:val="single" w:sz="4" w:space="0" w:color="auto"/>
            </w:tcBorders>
            <w:shd w:val="clear" w:color="000000" w:fill="FFFFFF"/>
            <w:vAlign w:val="bottom"/>
            <w:hideMark/>
          </w:tcPr>
          <w:p w14:paraId="17325A58"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 x 1.5 ML</w:t>
            </w:r>
          </w:p>
        </w:tc>
        <w:tc>
          <w:tcPr>
            <w:tcW w:w="787" w:type="dxa"/>
            <w:tcBorders>
              <w:top w:val="nil"/>
              <w:left w:val="nil"/>
              <w:bottom w:val="single" w:sz="4" w:space="0" w:color="auto"/>
              <w:right w:val="single" w:sz="4" w:space="0" w:color="auto"/>
            </w:tcBorders>
            <w:shd w:val="clear" w:color="000000" w:fill="FFFFFF"/>
            <w:vAlign w:val="bottom"/>
            <w:hideMark/>
          </w:tcPr>
          <w:p w14:paraId="01C0AB5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89E219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6BDD57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1BB2C90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woda wolna od nukleaz, nie traktowana DEPC (do biologii molekularnej)</w:t>
            </w:r>
          </w:p>
        </w:tc>
        <w:tc>
          <w:tcPr>
            <w:tcW w:w="7264" w:type="dxa"/>
            <w:tcBorders>
              <w:top w:val="nil"/>
              <w:left w:val="nil"/>
              <w:bottom w:val="single" w:sz="4" w:space="0" w:color="auto"/>
              <w:right w:val="single" w:sz="4" w:space="0" w:color="auto"/>
            </w:tcBorders>
            <w:shd w:val="clear" w:color="000000" w:fill="FFFFFF"/>
            <w:vAlign w:val="bottom"/>
            <w:hideMark/>
          </w:tcPr>
          <w:p w14:paraId="34D74ED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Ultraczysta, dejonizowana, sterylna woda, wolna od nukleaz. Nadaje się do wszystkich technik związanych z DNA, stosowanych w biologii molekularnej. Idealna do bardzo czułych reakcji wykrywania, takich jak PCR i PCR w czasie rzeczywistym.</w:t>
            </w:r>
          </w:p>
        </w:tc>
        <w:tc>
          <w:tcPr>
            <w:tcW w:w="1584" w:type="dxa"/>
            <w:tcBorders>
              <w:top w:val="nil"/>
              <w:left w:val="nil"/>
              <w:bottom w:val="single" w:sz="4" w:space="0" w:color="auto"/>
              <w:right w:val="single" w:sz="4" w:space="0" w:color="auto"/>
            </w:tcBorders>
            <w:shd w:val="clear" w:color="000000" w:fill="FFFFFF"/>
            <w:vAlign w:val="bottom"/>
            <w:hideMark/>
          </w:tcPr>
          <w:p w14:paraId="42F754A8"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25779BB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7D220D22" w14:textId="77777777" w:rsidTr="00CB32F5">
        <w:trPr>
          <w:trHeight w:val="14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57B4A5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9</w:t>
            </w:r>
          </w:p>
        </w:tc>
        <w:tc>
          <w:tcPr>
            <w:tcW w:w="3129" w:type="dxa"/>
            <w:tcBorders>
              <w:top w:val="nil"/>
              <w:left w:val="nil"/>
              <w:bottom w:val="nil"/>
              <w:right w:val="single" w:sz="4" w:space="0" w:color="auto"/>
            </w:tcBorders>
            <w:shd w:val="clear" w:color="000000" w:fill="FFFFFF"/>
            <w:vAlign w:val="bottom"/>
            <w:hideMark/>
          </w:tcPr>
          <w:p w14:paraId="45E0A7B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4x stężony bufor do próbek białkowych</w:t>
            </w:r>
          </w:p>
        </w:tc>
        <w:tc>
          <w:tcPr>
            <w:tcW w:w="7264" w:type="dxa"/>
            <w:tcBorders>
              <w:top w:val="nil"/>
              <w:left w:val="nil"/>
              <w:bottom w:val="nil"/>
              <w:right w:val="single" w:sz="4" w:space="0" w:color="auto"/>
            </w:tcBorders>
            <w:shd w:val="clear" w:color="000000" w:fill="FFFFFF"/>
            <w:vAlign w:val="bottom"/>
            <w:hideMark/>
          </w:tcPr>
          <w:p w14:paraId="568F718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Barwnik (4 x stężony), pozwalający na łatwe nanoszenie próbek białkowych na żele poliakrylamidowe (SDS-PAGE) oraz śledzenie postępu rozdziału w czasie elektroforezy (błękit bromofenolowy migruje wraz z czołem próbki). SDS obecny w buforze powoduje denaturację białek oraz nadanie im ładunku ujemnego. Dodatek 2-merkaptoetanolu odpowiada za redukcję mostków disiarczkowych. Glicerol zwiększa gęstość próbek, ułatwiając nakładanie ich na żel.</w:t>
            </w:r>
          </w:p>
        </w:tc>
        <w:tc>
          <w:tcPr>
            <w:tcW w:w="1584" w:type="dxa"/>
            <w:tcBorders>
              <w:top w:val="nil"/>
              <w:left w:val="nil"/>
              <w:bottom w:val="nil"/>
              <w:right w:val="single" w:sz="4" w:space="0" w:color="auto"/>
            </w:tcBorders>
            <w:shd w:val="clear" w:color="000000" w:fill="FFFFFF"/>
            <w:vAlign w:val="bottom"/>
            <w:hideMark/>
          </w:tcPr>
          <w:p w14:paraId="5802EB2F"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 x 1 ML</w:t>
            </w:r>
          </w:p>
        </w:tc>
        <w:tc>
          <w:tcPr>
            <w:tcW w:w="787" w:type="dxa"/>
            <w:tcBorders>
              <w:top w:val="nil"/>
              <w:left w:val="nil"/>
              <w:bottom w:val="nil"/>
              <w:right w:val="single" w:sz="4" w:space="0" w:color="auto"/>
            </w:tcBorders>
            <w:shd w:val="clear" w:color="000000" w:fill="FFFFFF"/>
            <w:vAlign w:val="bottom"/>
            <w:hideMark/>
          </w:tcPr>
          <w:p w14:paraId="03054B2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2C798CC"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E5EC10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c>
          <w:tcPr>
            <w:tcW w:w="3129" w:type="dxa"/>
            <w:tcBorders>
              <w:top w:val="single" w:sz="4" w:space="0" w:color="auto"/>
              <w:left w:val="nil"/>
              <w:bottom w:val="single" w:sz="4" w:space="0" w:color="auto"/>
              <w:right w:val="single" w:sz="4" w:space="0" w:color="auto"/>
            </w:tcBorders>
            <w:shd w:val="clear" w:color="000000" w:fill="FFFFFF"/>
            <w:vAlign w:val="bottom"/>
            <w:hideMark/>
          </w:tcPr>
          <w:p w14:paraId="341ED9E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barwnik do barwienia białek</w:t>
            </w:r>
          </w:p>
        </w:tc>
        <w:tc>
          <w:tcPr>
            <w:tcW w:w="7264" w:type="dxa"/>
            <w:tcBorders>
              <w:top w:val="single" w:sz="4" w:space="0" w:color="auto"/>
              <w:left w:val="nil"/>
              <w:bottom w:val="nil"/>
              <w:right w:val="single" w:sz="4" w:space="0" w:color="auto"/>
            </w:tcBorders>
            <w:shd w:val="clear" w:color="000000" w:fill="FFFFFF"/>
            <w:vAlign w:val="bottom"/>
            <w:hideMark/>
          </w:tcPr>
          <w:p w14:paraId="1E9AD9B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Gotowy do użycia barwnik do szybkiego i bezpiecznego barwienia białek. Odczynnik nie zawiera metanolu i kwasu octowego. Nie wydziela niebezpiecznych oparów podczas ogrzewania. Prążki białkowe wybarwiają się na kolor turkusowy. Wykrywa 20 ng białka w ciągu kilku minut. Białka barwione przy użyciu barwnika są kompatybilne z analizą spektrometrii masowej. </w:t>
            </w:r>
          </w:p>
        </w:tc>
        <w:tc>
          <w:tcPr>
            <w:tcW w:w="1584" w:type="dxa"/>
            <w:tcBorders>
              <w:top w:val="single" w:sz="4" w:space="0" w:color="auto"/>
              <w:left w:val="nil"/>
              <w:bottom w:val="nil"/>
              <w:right w:val="single" w:sz="4" w:space="0" w:color="auto"/>
            </w:tcBorders>
            <w:shd w:val="clear" w:color="000000" w:fill="FFFFFF"/>
            <w:vAlign w:val="bottom"/>
            <w:hideMark/>
          </w:tcPr>
          <w:p w14:paraId="359E6CE3"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L</w:t>
            </w:r>
          </w:p>
        </w:tc>
        <w:tc>
          <w:tcPr>
            <w:tcW w:w="787" w:type="dxa"/>
            <w:tcBorders>
              <w:top w:val="single" w:sz="4" w:space="0" w:color="auto"/>
              <w:left w:val="nil"/>
              <w:bottom w:val="nil"/>
              <w:right w:val="single" w:sz="4" w:space="0" w:color="auto"/>
            </w:tcBorders>
            <w:shd w:val="clear" w:color="000000" w:fill="FFFFFF"/>
            <w:vAlign w:val="bottom"/>
            <w:hideMark/>
          </w:tcPr>
          <w:p w14:paraId="19C4178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6E069A6"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E3D7C2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67D1179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uniwersalny zestaw do oczyszczania RNA</w:t>
            </w:r>
          </w:p>
        </w:tc>
        <w:tc>
          <w:tcPr>
            <w:tcW w:w="7264" w:type="dxa"/>
            <w:tcBorders>
              <w:top w:val="single" w:sz="4" w:space="0" w:color="auto"/>
              <w:left w:val="nil"/>
              <w:bottom w:val="single" w:sz="4" w:space="0" w:color="auto"/>
              <w:right w:val="single" w:sz="4" w:space="0" w:color="auto"/>
            </w:tcBorders>
            <w:shd w:val="clear" w:color="000000" w:fill="FFFFFF"/>
            <w:vAlign w:val="bottom"/>
            <w:hideMark/>
          </w:tcPr>
          <w:p w14:paraId="5B8409B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przeznaczony do oczyszczenia izolatów RNA pochodzących z dowolnych źródeł z zanieczyszczenia DNA.</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14:paraId="7375EBA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100 izolacji</w:t>
            </w:r>
          </w:p>
        </w:tc>
        <w:tc>
          <w:tcPr>
            <w:tcW w:w="787" w:type="dxa"/>
            <w:tcBorders>
              <w:top w:val="single" w:sz="4" w:space="0" w:color="auto"/>
              <w:left w:val="nil"/>
              <w:bottom w:val="single" w:sz="4" w:space="0" w:color="auto"/>
              <w:right w:val="single" w:sz="4" w:space="0" w:color="auto"/>
            </w:tcBorders>
            <w:shd w:val="clear" w:color="000000" w:fill="FFFFFF"/>
            <w:vAlign w:val="bottom"/>
            <w:hideMark/>
          </w:tcPr>
          <w:p w14:paraId="0DDF342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78B0F32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A41E8F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c>
          <w:tcPr>
            <w:tcW w:w="3129" w:type="dxa"/>
            <w:tcBorders>
              <w:top w:val="nil"/>
              <w:left w:val="nil"/>
              <w:bottom w:val="single" w:sz="4" w:space="0" w:color="auto"/>
              <w:right w:val="single" w:sz="4" w:space="0" w:color="auto"/>
            </w:tcBorders>
            <w:shd w:val="clear" w:color="000000" w:fill="FFFFFF"/>
            <w:vAlign w:val="bottom"/>
            <w:hideMark/>
          </w:tcPr>
          <w:p w14:paraId="3D92EF2C"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sacharoza</w:t>
            </w:r>
          </w:p>
        </w:tc>
        <w:tc>
          <w:tcPr>
            <w:tcW w:w="7264" w:type="dxa"/>
            <w:tcBorders>
              <w:top w:val="nil"/>
              <w:left w:val="nil"/>
              <w:bottom w:val="single" w:sz="4" w:space="0" w:color="auto"/>
              <w:right w:val="single" w:sz="4" w:space="0" w:color="auto"/>
            </w:tcBorders>
            <w:shd w:val="clear" w:color="000000" w:fill="FFFFFF"/>
            <w:vAlign w:val="bottom"/>
            <w:hideMark/>
          </w:tcPr>
          <w:p w14:paraId="48EE419A"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dodatek podłóż mikrobiologicznych</w:t>
            </w:r>
          </w:p>
        </w:tc>
        <w:tc>
          <w:tcPr>
            <w:tcW w:w="1584" w:type="dxa"/>
            <w:tcBorders>
              <w:top w:val="nil"/>
              <w:left w:val="nil"/>
              <w:bottom w:val="single" w:sz="4" w:space="0" w:color="auto"/>
              <w:right w:val="single" w:sz="4" w:space="0" w:color="auto"/>
            </w:tcBorders>
            <w:shd w:val="clear" w:color="000000" w:fill="FFFFFF"/>
            <w:vAlign w:val="bottom"/>
            <w:hideMark/>
          </w:tcPr>
          <w:p w14:paraId="775789E2"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7451943E"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2</w:t>
            </w:r>
          </w:p>
        </w:tc>
      </w:tr>
      <w:tr w:rsidR="00CB32F5" w:rsidRPr="00CB32F5" w14:paraId="10E979D9"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76CF6E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13</w:t>
            </w:r>
          </w:p>
        </w:tc>
        <w:tc>
          <w:tcPr>
            <w:tcW w:w="3129" w:type="dxa"/>
            <w:tcBorders>
              <w:top w:val="nil"/>
              <w:left w:val="nil"/>
              <w:bottom w:val="single" w:sz="4" w:space="0" w:color="auto"/>
              <w:right w:val="single" w:sz="4" w:space="0" w:color="auto"/>
            </w:tcBorders>
            <w:shd w:val="clear" w:color="000000" w:fill="FFFFFF"/>
            <w:vAlign w:val="bottom"/>
            <w:hideMark/>
          </w:tcPr>
          <w:p w14:paraId="6A491718"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Protease Inhibitor Cocktail Kit</w:t>
            </w:r>
          </w:p>
        </w:tc>
        <w:tc>
          <w:tcPr>
            <w:tcW w:w="7264" w:type="dxa"/>
            <w:tcBorders>
              <w:top w:val="nil"/>
              <w:left w:val="nil"/>
              <w:bottom w:val="single" w:sz="4" w:space="0" w:color="auto"/>
              <w:right w:val="single" w:sz="4" w:space="0" w:color="auto"/>
            </w:tcBorders>
            <w:shd w:val="clear" w:color="000000" w:fill="FFFFFF"/>
            <w:vAlign w:val="bottom"/>
            <w:hideMark/>
          </w:tcPr>
          <w:p w14:paraId="1107D461"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koktajl inhibitorów proteaz o szerokim spektrum działania, który obejmuje zarówno endopeptydazy, jak i egzopeptydazy, niespecyficzne i specyficzne. Koktajl składa się z czterech głównych inhibitorów proteazy: AEBSF, EDTA sodu, leupeptyny i pepsyny A; Zestaw starcza na max. 20 g ekstraktu komórkowego</w:t>
            </w:r>
          </w:p>
        </w:tc>
        <w:tc>
          <w:tcPr>
            <w:tcW w:w="1584" w:type="dxa"/>
            <w:tcBorders>
              <w:top w:val="nil"/>
              <w:left w:val="nil"/>
              <w:bottom w:val="single" w:sz="4" w:space="0" w:color="auto"/>
              <w:right w:val="single" w:sz="4" w:space="0" w:color="auto"/>
            </w:tcBorders>
            <w:shd w:val="clear" w:color="000000" w:fill="FFFFFF"/>
            <w:vAlign w:val="bottom"/>
            <w:hideMark/>
          </w:tcPr>
          <w:p w14:paraId="746B4CD9"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zestaw</w:t>
            </w:r>
          </w:p>
        </w:tc>
        <w:tc>
          <w:tcPr>
            <w:tcW w:w="787" w:type="dxa"/>
            <w:tcBorders>
              <w:top w:val="nil"/>
              <w:left w:val="nil"/>
              <w:bottom w:val="single" w:sz="4" w:space="0" w:color="auto"/>
              <w:right w:val="single" w:sz="4" w:space="0" w:color="auto"/>
            </w:tcBorders>
            <w:shd w:val="clear" w:color="000000" w:fill="FFFFFF"/>
            <w:vAlign w:val="bottom"/>
            <w:hideMark/>
          </w:tcPr>
          <w:p w14:paraId="53702933"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w:t>
            </w:r>
          </w:p>
        </w:tc>
      </w:tr>
      <w:tr w:rsidR="00CB32F5" w:rsidRPr="00CB32F5" w14:paraId="37814AC3"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7F4380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14</w:t>
            </w:r>
          </w:p>
        </w:tc>
        <w:tc>
          <w:tcPr>
            <w:tcW w:w="3129" w:type="dxa"/>
            <w:tcBorders>
              <w:top w:val="nil"/>
              <w:left w:val="nil"/>
              <w:bottom w:val="single" w:sz="4" w:space="0" w:color="auto"/>
              <w:right w:val="single" w:sz="4" w:space="0" w:color="auto"/>
            </w:tcBorders>
            <w:shd w:val="clear" w:color="000000" w:fill="FFFFFF"/>
            <w:vAlign w:val="bottom"/>
            <w:hideMark/>
          </w:tcPr>
          <w:p w14:paraId="1F160EE1"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D-glukoza</w:t>
            </w:r>
          </w:p>
        </w:tc>
        <w:tc>
          <w:tcPr>
            <w:tcW w:w="7264" w:type="dxa"/>
            <w:tcBorders>
              <w:top w:val="nil"/>
              <w:left w:val="nil"/>
              <w:bottom w:val="single" w:sz="4" w:space="0" w:color="auto"/>
              <w:right w:val="single" w:sz="4" w:space="0" w:color="auto"/>
            </w:tcBorders>
            <w:shd w:val="clear" w:color="000000" w:fill="FFFFFF"/>
            <w:vAlign w:val="bottom"/>
            <w:hideMark/>
          </w:tcPr>
          <w:p w14:paraId="2C459944"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glukoza bezwodna, Nr CAS: 50-99-7</w:t>
            </w:r>
          </w:p>
        </w:tc>
        <w:tc>
          <w:tcPr>
            <w:tcW w:w="1584" w:type="dxa"/>
            <w:tcBorders>
              <w:top w:val="nil"/>
              <w:left w:val="nil"/>
              <w:bottom w:val="single" w:sz="4" w:space="0" w:color="auto"/>
              <w:right w:val="single" w:sz="4" w:space="0" w:color="auto"/>
            </w:tcBorders>
            <w:shd w:val="clear" w:color="000000" w:fill="FFFFFF"/>
            <w:vAlign w:val="bottom"/>
            <w:hideMark/>
          </w:tcPr>
          <w:p w14:paraId="0515A325"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2A2062F6"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2</w:t>
            </w:r>
          </w:p>
        </w:tc>
      </w:tr>
      <w:tr w:rsidR="00CB32F5" w:rsidRPr="00CB32F5" w14:paraId="2E923362" w14:textId="77777777" w:rsidTr="00CB32F5">
        <w:trPr>
          <w:trHeight w:val="6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61DFB0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7734DDE3"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mikrokolumny wirownicze do odsalania białek</w:t>
            </w:r>
          </w:p>
        </w:tc>
        <w:tc>
          <w:tcPr>
            <w:tcW w:w="7264" w:type="dxa"/>
            <w:tcBorders>
              <w:top w:val="nil"/>
              <w:left w:val="nil"/>
              <w:bottom w:val="single" w:sz="4" w:space="0" w:color="auto"/>
              <w:right w:val="single" w:sz="4" w:space="0" w:color="auto"/>
            </w:tcBorders>
            <w:shd w:val="clear" w:color="000000" w:fill="FFFFFF"/>
            <w:vAlign w:val="bottom"/>
            <w:hideMark/>
          </w:tcPr>
          <w:p w14:paraId="42314846" w14:textId="77777777" w:rsidR="00CB32F5" w:rsidRPr="00CB32F5" w:rsidRDefault="00CB32F5" w:rsidP="00CB32F5">
            <w:pPr>
              <w:spacing w:after="0" w:line="240" w:lineRule="auto"/>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Wielkość wykluczenia molekularnego: 5000 Da, Objętość próbki: 25 - 30 µl</w:t>
            </w:r>
          </w:p>
        </w:tc>
        <w:tc>
          <w:tcPr>
            <w:tcW w:w="1584" w:type="dxa"/>
            <w:tcBorders>
              <w:top w:val="nil"/>
              <w:left w:val="nil"/>
              <w:bottom w:val="single" w:sz="4" w:space="0" w:color="auto"/>
              <w:right w:val="single" w:sz="4" w:space="0" w:color="auto"/>
            </w:tcBorders>
            <w:shd w:val="clear" w:color="000000" w:fill="FFFFFF"/>
            <w:vAlign w:val="bottom"/>
            <w:hideMark/>
          </w:tcPr>
          <w:p w14:paraId="77AE742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zestaw: 50 kolumn</w:t>
            </w:r>
          </w:p>
        </w:tc>
        <w:tc>
          <w:tcPr>
            <w:tcW w:w="787" w:type="dxa"/>
            <w:tcBorders>
              <w:top w:val="nil"/>
              <w:left w:val="nil"/>
              <w:bottom w:val="single" w:sz="4" w:space="0" w:color="auto"/>
              <w:right w:val="single" w:sz="4" w:space="0" w:color="auto"/>
            </w:tcBorders>
            <w:shd w:val="clear" w:color="000000" w:fill="FFFFFF"/>
            <w:vAlign w:val="bottom"/>
            <w:hideMark/>
          </w:tcPr>
          <w:p w14:paraId="7AABDEE0"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w:t>
            </w:r>
          </w:p>
        </w:tc>
      </w:tr>
      <w:tr w:rsidR="00E63D1D" w:rsidRPr="00CB32F5" w14:paraId="61888F62" w14:textId="77777777" w:rsidTr="00CB32F5">
        <w:trPr>
          <w:trHeight w:val="300"/>
        </w:trPr>
        <w:tc>
          <w:tcPr>
            <w:tcW w:w="626" w:type="dxa"/>
            <w:tcBorders>
              <w:top w:val="nil"/>
              <w:left w:val="nil"/>
              <w:bottom w:val="nil"/>
              <w:right w:val="nil"/>
            </w:tcBorders>
            <w:shd w:val="clear" w:color="auto" w:fill="auto"/>
            <w:noWrap/>
            <w:vAlign w:val="bottom"/>
          </w:tcPr>
          <w:p w14:paraId="24564929" w14:textId="77777777" w:rsidR="00E63D1D" w:rsidRDefault="00E63D1D" w:rsidP="00CB32F5">
            <w:pPr>
              <w:spacing w:after="0" w:line="240" w:lineRule="auto"/>
              <w:jc w:val="center"/>
              <w:rPr>
                <w:rFonts w:ascii="Calibri" w:eastAsia="Times New Roman" w:hAnsi="Calibri" w:cs="Calibri"/>
                <w:b/>
                <w:bCs/>
                <w:sz w:val="18"/>
                <w:szCs w:val="18"/>
                <w:lang w:eastAsia="pl-PL"/>
              </w:rPr>
            </w:pPr>
          </w:p>
          <w:p w14:paraId="12CA2245" w14:textId="4EF1910C" w:rsidR="00E63D1D" w:rsidRDefault="00E63D1D" w:rsidP="00CB32F5">
            <w:pPr>
              <w:spacing w:after="0" w:line="240" w:lineRule="auto"/>
              <w:jc w:val="center"/>
              <w:rPr>
                <w:rFonts w:ascii="Calibri" w:eastAsia="Times New Roman" w:hAnsi="Calibri" w:cs="Calibri"/>
                <w:b/>
                <w:bCs/>
                <w:sz w:val="18"/>
                <w:szCs w:val="18"/>
                <w:lang w:eastAsia="pl-PL"/>
              </w:rPr>
            </w:pPr>
          </w:p>
        </w:tc>
        <w:tc>
          <w:tcPr>
            <w:tcW w:w="3129" w:type="dxa"/>
            <w:tcBorders>
              <w:top w:val="nil"/>
              <w:left w:val="nil"/>
              <w:bottom w:val="nil"/>
              <w:right w:val="nil"/>
            </w:tcBorders>
            <w:shd w:val="clear" w:color="auto" w:fill="auto"/>
            <w:vAlign w:val="bottom"/>
          </w:tcPr>
          <w:p w14:paraId="723A1991"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55F7050A"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2909D750"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04E490D5"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20D28B44"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4563D3C7"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68A423A5"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01FA4E12"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430C40F5"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46029070" w14:textId="77777777" w:rsidR="00E63D1D" w:rsidRDefault="00E63D1D" w:rsidP="00CB32F5">
            <w:pPr>
              <w:spacing w:after="0" w:line="240" w:lineRule="auto"/>
              <w:rPr>
                <w:rFonts w:ascii="Times New Roman" w:eastAsia="Times New Roman" w:hAnsi="Times New Roman" w:cs="Times New Roman"/>
                <w:sz w:val="20"/>
                <w:szCs w:val="20"/>
                <w:lang w:eastAsia="pl-PL"/>
              </w:rPr>
            </w:pPr>
          </w:p>
          <w:p w14:paraId="6F9179AB" w14:textId="4824C767" w:rsidR="00E63D1D" w:rsidRPr="00CB32F5" w:rsidRDefault="00E63D1D"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tcPr>
          <w:p w14:paraId="3AF595B3" w14:textId="77777777" w:rsidR="00E63D1D" w:rsidRPr="00CB32F5" w:rsidRDefault="00E63D1D"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tcPr>
          <w:p w14:paraId="7A7CC22D" w14:textId="77777777" w:rsidR="00E63D1D" w:rsidRPr="00CB32F5" w:rsidRDefault="00E63D1D"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tcPr>
          <w:p w14:paraId="1F32237F" w14:textId="77777777" w:rsidR="00E63D1D" w:rsidRPr="00CB32F5" w:rsidRDefault="00E63D1D"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4A94D42B" w14:textId="77777777" w:rsidTr="00CB32F5">
        <w:trPr>
          <w:trHeight w:val="300"/>
        </w:trPr>
        <w:tc>
          <w:tcPr>
            <w:tcW w:w="626" w:type="dxa"/>
            <w:tcBorders>
              <w:top w:val="nil"/>
              <w:left w:val="nil"/>
              <w:bottom w:val="nil"/>
              <w:right w:val="nil"/>
            </w:tcBorders>
            <w:shd w:val="clear" w:color="auto" w:fill="auto"/>
            <w:noWrap/>
            <w:vAlign w:val="bottom"/>
            <w:hideMark/>
          </w:tcPr>
          <w:p w14:paraId="37F6220E"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c>
          <w:tcPr>
            <w:tcW w:w="3129" w:type="dxa"/>
            <w:tcBorders>
              <w:top w:val="nil"/>
              <w:left w:val="nil"/>
              <w:bottom w:val="nil"/>
              <w:right w:val="nil"/>
            </w:tcBorders>
            <w:shd w:val="clear" w:color="auto" w:fill="auto"/>
            <w:vAlign w:val="bottom"/>
            <w:hideMark/>
          </w:tcPr>
          <w:p w14:paraId="788543C8"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2B86418C"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588D754B"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45D9AB7E"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3C94644B" w14:textId="77777777" w:rsidTr="00CB32F5">
        <w:trPr>
          <w:trHeight w:val="975"/>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A9C55D4"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lastRenderedPageBreak/>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6A95888B"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05A4373C" w14:textId="633A8173" w:rsidR="00CB32F5" w:rsidRPr="00CB32F5" w:rsidRDefault="00E63D1D"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Opis cech artykułu lub ró</w:t>
            </w:r>
            <w:r>
              <w:rPr>
                <w:rFonts w:ascii="Calibri" w:eastAsia="Times New Roman" w:hAnsi="Calibri" w:cs="Calibri"/>
                <w:b/>
                <w:bCs/>
                <w:color w:val="000000"/>
                <w:sz w:val="18"/>
                <w:szCs w:val="18"/>
                <w:lang w:eastAsia="pl-PL"/>
              </w:rPr>
              <w:t>wnoważnego</w:t>
            </w:r>
            <w:r w:rsidRPr="00CB32F5">
              <w:rPr>
                <w:rFonts w:ascii="Calibri" w:eastAsia="Times New Roman" w:hAnsi="Calibri" w:cs="Calibri"/>
                <w:b/>
                <w:bCs/>
                <w:color w:val="000000"/>
                <w:sz w:val="18"/>
                <w:szCs w:val="18"/>
                <w:lang w:eastAsia="pl-PL"/>
              </w:rPr>
              <w:t xml:space="preserve"> artykułu</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07E79A25"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5B112A6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624971C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23D877E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427C868D"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4: Zestaw do oczyszczania kwasów nukleinowych</w:t>
            </w:r>
          </w:p>
        </w:tc>
        <w:tc>
          <w:tcPr>
            <w:tcW w:w="1584" w:type="dxa"/>
            <w:tcBorders>
              <w:top w:val="nil"/>
              <w:left w:val="nil"/>
              <w:bottom w:val="single" w:sz="4" w:space="0" w:color="auto"/>
              <w:right w:val="nil"/>
            </w:tcBorders>
            <w:shd w:val="clear" w:color="000000" w:fill="D9D9D9"/>
            <w:noWrap/>
            <w:vAlign w:val="bottom"/>
            <w:hideMark/>
          </w:tcPr>
          <w:p w14:paraId="3E429A73"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1C2C15B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7C698CE8" w14:textId="77777777" w:rsidTr="00CB32F5">
        <w:trPr>
          <w:trHeight w:val="25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69DF16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vAlign w:val="bottom"/>
            <w:hideMark/>
          </w:tcPr>
          <w:p w14:paraId="6441B7C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proteinowy 3-barwnikowy</w:t>
            </w:r>
          </w:p>
        </w:tc>
        <w:tc>
          <w:tcPr>
            <w:tcW w:w="7264" w:type="dxa"/>
            <w:tcBorders>
              <w:top w:val="nil"/>
              <w:left w:val="nil"/>
              <w:bottom w:val="single" w:sz="4" w:space="0" w:color="auto"/>
              <w:right w:val="single" w:sz="4" w:space="0" w:color="auto"/>
            </w:tcBorders>
            <w:shd w:val="clear" w:color="000000" w:fill="FFFFFF"/>
            <w:vAlign w:val="bottom"/>
            <w:hideMark/>
          </w:tcPr>
          <w:p w14:paraId="4835421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wstępnie barwiony wzorzec wielkości białek, złożony z precyzyjnie rozmieszczonych zrekombinowanych prążków białkowych, przeznaczony do określania wielkości polipeptydów w zakresie od 10 kDa do 245 kDa, to dwanaście prążków odpowiadających rozmiarowi białek: 11, 17, 20, 25, 35, 48, 63, 75, 100, 135, 180 i 245 kDa. Prążek 25 kDa jest kowalencyjnie sprzężony z zielonym barwnikiem, podczas gdy prążek 75 kDa jest kowalencyjnie sprzężony z pomarańczowym barwnikiem. Pozostałe prążki są kowalencyjnie połączone z niebieskim barwnikiem. Dostępny w gotowym do użycia formacie.</w:t>
            </w:r>
          </w:p>
        </w:tc>
        <w:tc>
          <w:tcPr>
            <w:tcW w:w="1584" w:type="dxa"/>
            <w:tcBorders>
              <w:top w:val="nil"/>
              <w:left w:val="nil"/>
              <w:bottom w:val="single" w:sz="4" w:space="0" w:color="auto"/>
              <w:right w:val="single" w:sz="4" w:space="0" w:color="auto"/>
            </w:tcBorders>
            <w:shd w:val="clear" w:color="000000" w:fill="FFFFFF"/>
            <w:vAlign w:val="bottom"/>
            <w:hideMark/>
          </w:tcPr>
          <w:p w14:paraId="3E342CB0"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szt. - 50 ścieżek</w:t>
            </w:r>
          </w:p>
        </w:tc>
        <w:tc>
          <w:tcPr>
            <w:tcW w:w="787" w:type="dxa"/>
            <w:tcBorders>
              <w:top w:val="nil"/>
              <w:left w:val="nil"/>
              <w:bottom w:val="single" w:sz="4" w:space="0" w:color="auto"/>
              <w:right w:val="single" w:sz="4" w:space="0" w:color="auto"/>
            </w:tcBorders>
            <w:shd w:val="clear" w:color="000000" w:fill="FFFFFF"/>
            <w:vAlign w:val="bottom"/>
            <w:hideMark/>
          </w:tcPr>
          <w:p w14:paraId="72A343B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74C28AD0" w14:textId="77777777" w:rsidTr="00CB32F5">
        <w:trPr>
          <w:trHeight w:val="172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84FA0C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21D8064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DNA 50-500 bp</w:t>
            </w:r>
          </w:p>
        </w:tc>
        <w:tc>
          <w:tcPr>
            <w:tcW w:w="7264" w:type="dxa"/>
            <w:tcBorders>
              <w:top w:val="nil"/>
              <w:left w:val="nil"/>
              <w:bottom w:val="single" w:sz="4" w:space="0" w:color="auto"/>
              <w:right w:val="single" w:sz="4" w:space="0" w:color="auto"/>
            </w:tcBorders>
            <w:shd w:val="clear" w:color="000000" w:fill="FFFFFF"/>
            <w:vAlign w:val="bottom"/>
            <w:hideMark/>
          </w:tcPr>
          <w:p w14:paraId="7775A1B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wzorzec wielkości DNA do oznaczania małych fragmentów DNA, Składa się z 5 prążków o rozmiarach 50, 100, 250, 400 i 500 pz. Dla łatwego odniesienia, fragment DNA 250 pz jest trzy razy jaśniejszy niż pozostałe. Wzorzec wielkości jest dostarczany w formacie gotowym do załadowania na żel.</w:t>
            </w:r>
          </w:p>
        </w:tc>
        <w:tc>
          <w:tcPr>
            <w:tcW w:w="1584" w:type="dxa"/>
            <w:tcBorders>
              <w:top w:val="nil"/>
              <w:left w:val="nil"/>
              <w:bottom w:val="single" w:sz="4" w:space="0" w:color="auto"/>
              <w:right w:val="single" w:sz="4" w:space="0" w:color="auto"/>
            </w:tcBorders>
            <w:shd w:val="clear" w:color="000000" w:fill="FFFFFF"/>
            <w:vAlign w:val="bottom"/>
            <w:hideMark/>
          </w:tcPr>
          <w:p w14:paraId="76CAC897"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500 ścieżek</w:t>
            </w:r>
          </w:p>
        </w:tc>
        <w:tc>
          <w:tcPr>
            <w:tcW w:w="787" w:type="dxa"/>
            <w:tcBorders>
              <w:top w:val="nil"/>
              <w:left w:val="nil"/>
              <w:bottom w:val="single" w:sz="4" w:space="0" w:color="auto"/>
              <w:right w:val="single" w:sz="4" w:space="0" w:color="auto"/>
            </w:tcBorders>
            <w:shd w:val="clear" w:color="000000" w:fill="FFFFFF"/>
            <w:vAlign w:val="bottom"/>
            <w:hideMark/>
          </w:tcPr>
          <w:p w14:paraId="5C7E4FA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D11ACC3" w14:textId="77777777" w:rsidTr="00CB32F5">
        <w:trPr>
          <w:trHeight w:val="33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65442E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vAlign w:val="bottom"/>
            <w:hideMark/>
          </w:tcPr>
          <w:p w14:paraId="49975CC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DNA po reakcjach enzymatycznych i PCR</w:t>
            </w:r>
          </w:p>
        </w:tc>
        <w:tc>
          <w:tcPr>
            <w:tcW w:w="7264" w:type="dxa"/>
            <w:tcBorders>
              <w:top w:val="nil"/>
              <w:left w:val="nil"/>
              <w:bottom w:val="single" w:sz="4" w:space="0" w:color="auto"/>
              <w:right w:val="single" w:sz="4" w:space="0" w:color="auto"/>
            </w:tcBorders>
            <w:shd w:val="clear" w:color="000000" w:fill="FFFFFF"/>
            <w:vAlign w:val="bottom"/>
            <w:hideMark/>
          </w:tcPr>
          <w:p w14:paraId="4ECF155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oczyszczenie m. in. produktów PCR, fragmentów restrykcyjnych, molekuł DNA po obróbce enzymatycznej oraz znakowaniu izotopowym lub chemicznym. Zabarwiony bufor szczególnie ułatwia jednoczesną pracę z wieloma próbkami. Zestaw pozwala na efektywnie usuwane z próbki DNA wielu zanieczyszczeń. Zestaw jest zoptymalizowany w celu wiązania fragmentów DNA w szerokim zakresie wielkości (od 100 bp do ponad 15 kb) oraz w celu usuwania sprawiających szczególne trudności inhibitorów restrykcji i ligacji DNA. Podczas krótkiego wirowania następuje wiązanie DNA do membran,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797346CE"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56704B9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25C59F8F" w14:textId="77777777" w:rsidTr="00CB32F5">
        <w:trPr>
          <w:trHeight w:val="34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A1D8FC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4</w:t>
            </w:r>
          </w:p>
        </w:tc>
        <w:tc>
          <w:tcPr>
            <w:tcW w:w="3129" w:type="dxa"/>
            <w:tcBorders>
              <w:top w:val="nil"/>
              <w:left w:val="nil"/>
              <w:bottom w:val="single" w:sz="4" w:space="0" w:color="auto"/>
              <w:right w:val="single" w:sz="4" w:space="0" w:color="auto"/>
            </w:tcBorders>
            <w:shd w:val="clear" w:color="000000" w:fill="FFFFFF"/>
            <w:vAlign w:val="bottom"/>
            <w:hideMark/>
          </w:tcPr>
          <w:p w14:paraId="7B2298F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oczyszczania DNA po elektroforezie w żelu agarozowym</w:t>
            </w:r>
          </w:p>
        </w:tc>
        <w:tc>
          <w:tcPr>
            <w:tcW w:w="7264" w:type="dxa"/>
            <w:tcBorders>
              <w:top w:val="nil"/>
              <w:left w:val="nil"/>
              <w:bottom w:val="single" w:sz="4" w:space="0" w:color="auto"/>
              <w:right w:val="single" w:sz="4" w:space="0" w:color="auto"/>
            </w:tcBorders>
            <w:shd w:val="clear" w:color="000000" w:fill="FFFFFF"/>
            <w:vAlign w:val="bottom"/>
            <w:hideMark/>
          </w:tcPr>
          <w:p w14:paraId="79523DD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oczyszczenie liniowych lub kolistych cząsteczek DNA o wielkości od ok. 100 pz do ponad 10 kpz, rozdzielanych na TAE- lub TBE-żelu agarozowym. Zabarwiony bufor ułatwia śledzenie postępu rozpuszczania agarozy oraz jednoczesną pracę z wieloma próbkami. Poza usunięciem agarozy, z próbki DNA efektywnie usuwanych jest wiele zanieczyszczeń. Dodanie specjalnego buforu wytwarza warunki do selektywnego wiązania DNA do membran. Podczas krótkiego wirowania następuje wiązanie DNA do membrany, natomiast niezwiązana, rozpuszczona agaroza oraz inne zanieczyszczenia pozostają w wycieku z kolumny. Ich śladowe pozostalości na membranie są skutecznie usuwane w trakcie dwóch etapów płukania. Użyte zloże jest zaprojektowane pod kątem skutecznego usuwania inhibitorów restrykcji i ligacji DNA.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631BA80A"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370A6B5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63796CEC" w14:textId="77777777" w:rsidTr="00CB32F5">
        <w:trPr>
          <w:trHeight w:val="364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987037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vAlign w:val="bottom"/>
            <w:hideMark/>
          </w:tcPr>
          <w:p w14:paraId="3B9C05B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genomowego DNA z bakterii</w:t>
            </w:r>
          </w:p>
        </w:tc>
        <w:tc>
          <w:tcPr>
            <w:tcW w:w="7264" w:type="dxa"/>
            <w:tcBorders>
              <w:top w:val="nil"/>
              <w:left w:val="nil"/>
              <w:bottom w:val="single" w:sz="4" w:space="0" w:color="auto"/>
              <w:right w:val="single" w:sz="4" w:space="0" w:color="auto"/>
            </w:tcBorders>
            <w:shd w:val="clear" w:color="000000" w:fill="FFFFFF"/>
            <w:vAlign w:val="bottom"/>
            <w:hideMark/>
          </w:tcPr>
          <w:p w14:paraId="6B949E3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jest przeznaczony do szybkiej izolacji genomowego DNA z różnorodnych grup fizjologicznych bakterii oraz różnorodnych gatunków i szczepów drożdży. Oczyszczone DNA nie zawiera zanieczyszczeń m.in. takich jak: RNA, białka, lipidy, barwniki, detergenty, organiczne inhibitory enzymów, związki buforowe, sole, kationy dwuwartościowe. Próbka poddana zostaje lizie w obecności specjalnego buforu naruszającego strukturę ściany komórkowej. Proteinaza K degraduje białka komórkowe oraz uwalnia genomowe DNA z wiążących je białek oraz eliminuje nukleazy komórkowe. Dodanie specjalnego buforu wytwarza warunki do selektywnego wiązania DNA do membrany. Podczas krótkiego wirowania następuje wiązanie DNA do membrany,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3F858DA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50 izolacji</w:t>
            </w:r>
          </w:p>
        </w:tc>
        <w:tc>
          <w:tcPr>
            <w:tcW w:w="787" w:type="dxa"/>
            <w:tcBorders>
              <w:top w:val="nil"/>
              <w:left w:val="nil"/>
              <w:bottom w:val="single" w:sz="4" w:space="0" w:color="auto"/>
              <w:right w:val="single" w:sz="4" w:space="0" w:color="auto"/>
            </w:tcBorders>
            <w:shd w:val="clear" w:color="000000" w:fill="FFFFFF"/>
            <w:vAlign w:val="bottom"/>
            <w:hideMark/>
          </w:tcPr>
          <w:p w14:paraId="0198F1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10510A1" w14:textId="77777777" w:rsidTr="00CB32F5">
        <w:trPr>
          <w:trHeight w:val="39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4547A9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6</w:t>
            </w:r>
          </w:p>
        </w:tc>
        <w:tc>
          <w:tcPr>
            <w:tcW w:w="3129" w:type="dxa"/>
            <w:tcBorders>
              <w:top w:val="nil"/>
              <w:left w:val="nil"/>
              <w:bottom w:val="single" w:sz="4" w:space="0" w:color="auto"/>
              <w:right w:val="single" w:sz="4" w:space="0" w:color="auto"/>
            </w:tcBorders>
            <w:shd w:val="clear" w:color="000000" w:fill="FFFFFF"/>
            <w:vAlign w:val="bottom"/>
            <w:hideMark/>
          </w:tcPr>
          <w:p w14:paraId="77F0DF6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plazmidowego DNA (mini)</w:t>
            </w:r>
          </w:p>
        </w:tc>
        <w:tc>
          <w:tcPr>
            <w:tcW w:w="7264" w:type="dxa"/>
            <w:tcBorders>
              <w:top w:val="nil"/>
              <w:left w:val="nil"/>
              <w:bottom w:val="single" w:sz="4" w:space="0" w:color="auto"/>
              <w:right w:val="single" w:sz="4" w:space="0" w:color="auto"/>
            </w:tcBorders>
            <w:shd w:val="clear" w:color="000000" w:fill="FFFFFF"/>
            <w:vAlign w:val="bottom"/>
            <w:hideMark/>
          </w:tcPr>
          <w:p w14:paraId="6EB6803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pozwala na szybkie uzyskanie plazmidowego DNA o bardzo wysokiej czystości z różnorodnych gatunków bakterii. Z surowego lizatu bakteryjnego efektywnie usuwane są zanieczyszczenia takie jak: genomowe DNA, RNA, białka, lipidy, barwniki, detergenty, związki buforowe, sole. Komponenty zestawu umozliwiają usuwania uciążliwych inhibitorów restrykcji DNA oraz niespecyficznych endo- i egzonukleaz z lizatu bakteryjnego. Zabarwiony bufor lizujący ułatwia śledzenie dokładności wymieszania zawiesiny bakterii z buforem, postępu uwalniania zawartości komórek oraz jednoczesną pracę z wieloma próbkami. Dodanie specjalnego buforu wytwarza warunki do selektywnego wiązania DNA do membran. Podczas krótkiego wirowania następuje wiązanie DNA, natomiast niezwiązane zanieczyszczenia pozostają w wycieku z kolumny. Ich śladowe pozostałości na membranie są skutecznie usuwane w trakcie dwóch etapów płukania. Elucję oczyszczonego DNA wykonuje się buforem niskosolnym, np.: zawierającym Tris-HCl, TE lub wodą destylowaną. Oczyszczony preparat DNA nadaje się do bezpośredniego użytku. Nie wymaga dalszej precypitacji etanolem.</w:t>
            </w:r>
          </w:p>
        </w:tc>
        <w:tc>
          <w:tcPr>
            <w:tcW w:w="1584" w:type="dxa"/>
            <w:tcBorders>
              <w:top w:val="nil"/>
              <w:left w:val="nil"/>
              <w:bottom w:val="single" w:sz="4" w:space="0" w:color="auto"/>
              <w:right w:val="single" w:sz="4" w:space="0" w:color="auto"/>
            </w:tcBorders>
            <w:shd w:val="clear" w:color="000000" w:fill="FFFFFF"/>
            <w:vAlign w:val="bottom"/>
            <w:hideMark/>
          </w:tcPr>
          <w:p w14:paraId="6A6211C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150 izolacji</w:t>
            </w:r>
          </w:p>
        </w:tc>
        <w:tc>
          <w:tcPr>
            <w:tcW w:w="787" w:type="dxa"/>
            <w:tcBorders>
              <w:top w:val="nil"/>
              <w:left w:val="nil"/>
              <w:bottom w:val="single" w:sz="4" w:space="0" w:color="auto"/>
              <w:right w:val="single" w:sz="4" w:space="0" w:color="auto"/>
            </w:tcBorders>
            <w:shd w:val="clear" w:color="000000" w:fill="FFFFFF"/>
            <w:vAlign w:val="bottom"/>
            <w:hideMark/>
          </w:tcPr>
          <w:p w14:paraId="4F51D27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0BA4C50C" w14:textId="77777777" w:rsidTr="00CB32F5">
        <w:trPr>
          <w:trHeight w:val="196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A5BB6B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7B7CAC1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bufor do przechowywania RNA</w:t>
            </w:r>
          </w:p>
        </w:tc>
        <w:tc>
          <w:tcPr>
            <w:tcW w:w="7264" w:type="dxa"/>
            <w:tcBorders>
              <w:top w:val="nil"/>
              <w:left w:val="nil"/>
              <w:bottom w:val="single" w:sz="4" w:space="0" w:color="auto"/>
              <w:right w:val="single" w:sz="4" w:space="0" w:color="auto"/>
            </w:tcBorders>
            <w:shd w:val="clear" w:color="000000" w:fill="FFFFFF"/>
            <w:vAlign w:val="bottom"/>
            <w:hideMark/>
          </w:tcPr>
          <w:p w14:paraId="78E20D7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 1 mM cytrynian sodu o pH 6.4 na bazie wolnej od nukleaz wody, traktowanej DEPC. Bufor stosowany jest do rozpuszczania i długoterminowego przechowywania RNA po precypitacji, RNA przechowywane w tym buforze może być bezpośrednio użyte do reakcji odwrotnej transkrypcji, RT-qPCR i innych.</w:t>
            </w:r>
          </w:p>
        </w:tc>
        <w:tc>
          <w:tcPr>
            <w:tcW w:w="1584" w:type="dxa"/>
            <w:tcBorders>
              <w:top w:val="nil"/>
              <w:left w:val="nil"/>
              <w:bottom w:val="single" w:sz="4" w:space="0" w:color="auto"/>
              <w:right w:val="single" w:sz="4" w:space="0" w:color="auto"/>
            </w:tcBorders>
            <w:shd w:val="clear" w:color="000000" w:fill="FFFFFF"/>
            <w:vAlign w:val="bottom"/>
            <w:hideMark/>
          </w:tcPr>
          <w:p w14:paraId="132BBA32"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 x 1.5 ML</w:t>
            </w:r>
          </w:p>
        </w:tc>
        <w:tc>
          <w:tcPr>
            <w:tcW w:w="787" w:type="dxa"/>
            <w:tcBorders>
              <w:top w:val="nil"/>
              <w:left w:val="nil"/>
              <w:bottom w:val="single" w:sz="4" w:space="0" w:color="auto"/>
              <w:right w:val="single" w:sz="4" w:space="0" w:color="auto"/>
            </w:tcBorders>
            <w:shd w:val="clear" w:color="000000" w:fill="FFFFFF"/>
            <w:vAlign w:val="bottom"/>
            <w:hideMark/>
          </w:tcPr>
          <w:p w14:paraId="0F92BE8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12FE72B" w14:textId="77777777" w:rsidTr="00CB32F5">
        <w:trPr>
          <w:trHeight w:val="96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B281C1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5CC9E00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woda wolna od nukleaz, nie traktowana DEPC (do biologii molekularnej)</w:t>
            </w:r>
          </w:p>
        </w:tc>
        <w:tc>
          <w:tcPr>
            <w:tcW w:w="7264" w:type="dxa"/>
            <w:tcBorders>
              <w:top w:val="nil"/>
              <w:left w:val="nil"/>
              <w:bottom w:val="single" w:sz="4" w:space="0" w:color="auto"/>
              <w:right w:val="single" w:sz="4" w:space="0" w:color="auto"/>
            </w:tcBorders>
            <w:shd w:val="clear" w:color="000000" w:fill="FFFFFF"/>
            <w:vAlign w:val="bottom"/>
            <w:hideMark/>
          </w:tcPr>
          <w:p w14:paraId="47A3CE7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Ultraczysta, dejonizowana, sterylna woda, wolna od nukleaz. Nadaje się do wszystkich technik związanych z DNA, stosowanych w biologii molekularnej. Idealna do bardzo czułych reakcji wykrywania, takich jak PCR i PCR w czasie rzeczywistym.</w:t>
            </w:r>
          </w:p>
        </w:tc>
        <w:tc>
          <w:tcPr>
            <w:tcW w:w="1584" w:type="dxa"/>
            <w:tcBorders>
              <w:top w:val="nil"/>
              <w:left w:val="nil"/>
              <w:bottom w:val="single" w:sz="4" w:space="0" w:color="auto"/>
              <w:right w:val="single" w:sz="4" w:space="0" w:color="auto"/>
            </w:tcBorders>
            <w:shd w:val="clear" w:color="000000" w:fill="FFFFFF"/>
            <w:vAlign w:val="bottom"/>
            <w:hideMark/>
          </w:tcPr>
          <w:p w14:paraId="7235BE31"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12CE58C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23BE641F" w14:textId="77777777" w:rsidTr="00CB32F5">
        <w:trPr>
          <w:trHeight w:val="159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5C4042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w:t>
            </w:r>
          </w:p>
        </w:tc>
        <w:tc>
          <w:tcPr>
            <w:tcW w:w="3129" w:type="dxa"/>
            <w:tcBorders>
              <w:top w:val="nil"/>
              <w:left w:val="nil"/>
              <w:bottom w:val="nil"/>
              <w:right w:val="single" w:sz="4" w:space="0" w:color="auto"/>
            </w:tcBorders>
            <w:shd w:val="clear" w:color="000000" w:fill="FFFFFF"/>
            <w:vAlign w:val="bottom"/>
            <w:hideMark/>
          </w:tcPr>
          <w:p w14:paraId="7BE1555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4x stężony bufor do próbek białkowych</w:t>
            </w:r>
          </w:p>
        </w:tc>
        <w:tc>
          <w:tcPr>
            <w:tcW w:w="7264" w:type="dxa"/>
            <w:tcBorders>
              <w:top w:val="nil"/>
              <w:left w:val="nil"/>
              <w:bottom w:val="nil"/>
              <w:right w:val="single" w:sz="4" w:space="0" w:color="auto"/>
            </w:tcBorders>
            <w:shd w:val="clear" w:color="000000" w:fill="FFFFFF"/>
            <w:vAlign w:val="bottom"/>
            <w:hideMark/>
          </w:tcPr>
          <w:p w14:paraId="0E92E0F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Barwnik (4 x stężony), pozwalający na łatwe nanoszenie próbek białkowych na żele poliakrylamidowe (SDS-PAGE) oraz śledzenie postępu rozdziału w czasie elektroforezy (błękit bromofenolowy migruje wraz z czołem próbki). SDS obecny w buforze powoduje denaturację białek oraz nadanie im ładunku ujemnego. Dodatek 2-merkaptoetanolu odpowiada za redukcję mostków disiarczkowych. Glicerol zwiększa gęstość próbek, ułatwiając nakładanie ich na żel.</w:t>
            </w:r>
          </w:p>
        </w:tc>
        <w:tc>
          <w:tcPr>
            <w:tcW w:w="1584" w:type="dxa"/>
            <w:tcBorders>
              <w:top w:val="nil"/>
              <w:left w:val="nil"/>
              <w:bottom w:val="nil"/>
              <w:right w:val="single" w:sz="4" w:space="0" w:color="auto"/>
            </w:tcBorders>
            <w:shd w:val="clear" w:color="000000" w:fill="FFFFFF"/>
            <w:vAlign w:val="bottom"/>
            <w:hideMark/>
          </w:tcPr>
          <w:p w14:paraId="33CD23CC"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 x 1 ML</w:t>
            </w:r>
          </w:p>
        </w:tc>
        <w:tc>
          <w:tcPr>
            <w:tcW w:w="787" w:type="dxa"/>
            <w:tcBorders>
              <w:top w:val="nil"/>
              <w:left w:val="nil"/>
              <w:bottom w:val="nil"/>
              <w:right w:val="single" w:sz="4" w:space="0" w:color="auto"/>
            </w:tcBorders>
            <w:shd w:val="clear" w:color="000000" w:fill="FFFFFF"/>
            <w:vAlign w:val="bottom"/>
            <w:hideMark/>
          </w:tcPr>
          <w:p w14:paraId="5FE3083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06FEE2CC" w14:textId="77777777" w:rsidTr="00CB32F5">
        <w:trPr>
          <w:trHeight w:val="130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A13B9B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10</w:t>
            </w:r>
          </w:p>
        </w:tc>
        <w:tc>
          <w:tcPr>
            <w:tcW w:w="3129" w:type="dxa"/>
            <w:tcBorders>
              <w:top w:val="single" w:sz="4" w:space="0" w:color="auto"/>
              <w:left w:val="nil"/>
              <w:bottom w:val="single" w:sz="4" w:space="0" w:color="auto"/>
              <w:right w:val="single" w:sz="4" w:space="0" w:color="auto"/>
            </w:tcBorders>
            <w:shd w:val="clear" w:color="000000" w:fill="FFFFFF"/>
            <w:vAlign w:val="bottom"/>
            <w:hideMark/>
          </w:tcPr>
          <w:p w14:paraId="41C7E9F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barwnik do barwienia białek</w:t>
            </w:r>
          </w:p>
        </w:tc>
        <w:tc>
          <w:tcPr>
            <w:tcW w:w="7264" w:type="dxa"/>
            <w:tcBorders>
              <w:top w:val="single" w:sz="4" w:space="0" w:color="auto"/>
              <w:left w:val="nil"/>
              <w:bottom w:val="nil"/>
              <w:right w:val="single" w:sz="4" w:space="0" w:color="auto"/>
            </w:tcBorders>
            <w:shd w:val="clear" w:color="000000" w:fill="FFFFFF"/>
            <w:vAlign w:val="bottom"/>
            <w:hideMark/>
          </w:tcPr>
          <w:p w14:paraId="2D67455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Gotowy do użycia barwnik do szybkiego i bezpiecznego barwienia białek. Odczynnik nie zawiera metanolu i kwasu octowego. Nie wydziela niebezpiecznych oparów podczas ogrzewania. Prążki białkowe wybarwiają się na kolor turkusowy. Wykrywa 20 ng białka w ciągu kilku minut. Białka barwione przy użyciu barwnika są kompatybilne z analizą spektrometrii masowej. </w:t>
            </w:r>
          </w:p>
        </w:tc>
        <w:tc>
          <w:tcPr>
            <w:tcW w:w="1584" w:type="dxa"/>
            <w:tcBorders>
              <w:top w:val="single" w:sz="4" w:space="0" w:color="auto"/>
              <w:left w:val="nil"/>
              <w:bottom w:val="nil"/>
              <w:right w:val="single" w:sz="4" w:space="0" w:color="auto"/>
            </w:tcBorders>
            <w:shd w:val="clear" w:color="000000" w:fill="FFFFFF"/>
            <w:vAlign w:val="bottom"/>
            <w:hideMark/>
          </w:tcPr>
          <w:p w14:paraId="6DDC765E"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 L</w:t>
            </w:r>
          </w:p>
        </w:tc>
        <w:tc>
          <w:tcPr>
            <w:tcW w:w="787" w:type="dxa"/>
            <w:tcBorders>
              <w:top w:val="single" w:sz="4" w:space="0" w:color="auto"/>
              <w:left w:val="nil"/>
              <w:bottom w:val="nil"/>
              <w:right w:val="single" w:sz="4" w:space="0" w:color="auto"/>
            </w:tcBorders>
            <w:shd w:val="clear" w:color="000000" w:fill="FFFFFF"/>
            <w:vAlign w:val="bottom"/>
            <w:hideMark/>
          </w:tcPr>
          <w:p w14:paraId="3DB5EAD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DCA85C1" w14:textId="77777777" w:rsidTr="00CB32F5">
        <w:trPr>
          <w:trHeight w:val="10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B4F516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2CF3879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uniwersalny zestaw do oczyszczania RNA</w:t>
            </w:r>
          </w:p>
        </w:tc>
        <w:tc>
          <w:tcPr>
            <w:tcW w:w="7264" w:type="dxa"/>
            <w:tcBorders>
              <w:top w:val="single" w:sz="4" w:space="0" w:color="auto"/>
              <w:left w:val="nil"/>
              <w:bottom w:val="single" w:sz="4" w:space="0" w:color="auto"/>
              <w:right w:val="single" w:sz="4" w:space="0" w:color="auto"/>
            </w:tcBorders>
            <w:shd w:val="clear" w:color="000000" w:fill="FFFFFF"/>
            <w:vAlign w:val="bottom"/>
            <w:hideMark/>
          </w:tcPr>
          <w:p w14:paraId="15A62A6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przeznaczony do oczyszczenia izolatów RNA pochodzących z dowolnych źródeł z zanieczyszczenia DNA.</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14:paraId="22B4F314"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100 izolacji</w:t>
            </w:r>
          </w:p>
        </w:tc>
        <w:tc>
          <w:tcPr>
            <w:tcW w:w="787" w:type="dxa"/>
            <w:tcBorders>
              <w:top w:val="single" w:sz="4" w:space="0" w:color="auto"/>
              <w:left w:val="nil"/>
              <w:bottom w:val="single" w:sz="4" w:space="0" w:color="auto"/>
              <w:right w:val="single" w:sz="4" w:space="0" w:color="auto"/>
            </w:tcBorders>
            <w:shd w:val="clear" w:color="000000" w:fill="FFFFFF"/>
            <w:vAlign w:val="bottom"/>
            <w:hideMark/>
          </w:tcPr>
          <w:p w14:paraId="12DE1B5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4A5D0312" w14:textId="77777777" w:rsidTr="00CB32F5">
        <w:trPr>
          <w:trHeight w:val="300"/>
        </w:trPr>
        <w:tc>
          <w:tcPr>
            <w:tcW w:w="626" w:type="dxa"/>
            <w:tcBorders>
              <w:top w:val="nil"/>
              <w:left w:val="nil"/>
              <w:bottom w:val="nil"/>
              <w:right w:val="nil"/>
            </w:tcBorders>
            <w:shd w:val="clear" w:color="auto" w:fill="auto"/>
            <w:noWrap/>
            <w:vAlign w:val="bottom"/>
            <w:hideMark/>
          </w:tcPr>
          <w:p w14:paraId="56694D11" w14:textId="77777777" w:rsidR="00CB32F5" w:rsidRPr="00CB32F5" w:rsidRDefault="00CB32F5" w:rsidP="00CB32F5">
            <w:pPr>
              <w:spacing w:after="0" w:line="240" w:lineRule="auto"/>
              <w:jc w:val="center"/>
              <w:rPr>
                <w:rFonts w:ascii="Calibri" w:eastAsia="Times New Roman" w:hAnsi="Calibri" w:cs="Calibri"/>
                <w:color w:val="000000"/>
                <w:lang w:eastAsia="pl-PL"/>
              </w:rPr>
            </w:pPr>
          </w:p>
        </w:tc>
        <w:tc>
          <w:tcPr>
            <w:tcW w:w="3129" w:type="dxa"/>
            <w:tcBorders>
              <w:top w:val="nil"/>
              <w:left w:val="nil"/>
              <w:bottom w:val="nil"/>
              <w:right w:val="nil"/>
            </w:tcBorders>
            <w:shd w:val="clear" w:color="auto" w:fill="auto"/>
            <w:vAlign w:val="bottom"/>
            <w:hideMark/>
          </w:tcPr>
          <w:p w14:paraId="20BE5F3E"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42588DBD"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5A4258AF"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3E512749"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3AE31A92"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6D4BA46D"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09EFD01A"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500F3B81"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Cechy unikalne/ cechy równoważności</w:t>
            </w:r>
          </w:p>
        </w:tc>
        <w:tc>
          <w:tcPr>
            <w:tcW w:w="1584" w:type="dxa"/>
            <w:tcBorders>
              <w:top w:val="single" w:sz="4" w:space="0" w:color="auto"/>
              <w:left w:val="nil"/>
              <w:bottom w:val="single" w:sz="4" w:space="0" w:color="auto"/>
              <w:right w:val="single" w:sz="4" w:space="0" w:color="auto"/>
            </w:tcBorders>
            <w:shd w:val="clear" w:color="000000" w:fill="B4C6E7"/>
            <w:vAlign w:val="bottom"/>
            <w:hideMark/>
          </w:tcPr>
          <w:p w14:paraId="736A9755"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bottom"/>
            <w:hideMark/>
          </w:tcPr>
          <w:p w14:paraId="5B3C7F0E"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4291415B"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357F2EC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6B31622D"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5: Zestaw - Linie komórkowe i odczynniki niezbędne do ich analizowania</w:t>
            </w:r>
          </w:p>
        </w:tc>
        <w:tc>
          <w:tcPr>
            <w:tcW w:w="1584" w:type="dxa"/>
            <w:tcBorders>
              <w:top w:val="nil"/>
              <w:left w:val="nil"/>
              <w:bottom w:val="single" w:sz="4" w:space="0" w:color="auto"/>
              <w:right w:val="nil"/>
            </w:tcBorders>
            <w:shd w:val="clear" w:color="000000" w:fill="D9D9D9"/>
            <w:noWrap/>
            <w:vAlign w:val="bottom"/>
            <w:hideMark/>
          </w:tcPr>
          <w:p w14:paraId="60903DCD" w14:textId="77777777" w:rsidR="00CB32F5" w:rsidRPr="00CB32F5" w:rsidRDefault="00CB32F5" w:rsidP="00CB32F5">
            <w:pPr>
              <w:spacing w:after="0" w:line="240" w:lineRule="auto"/>
              <w:jc w:val="center"/>
              <w:rPr>
                <w:rFonts w:ascii="Calibri" w:eastAsia="Times New Roman" w:hAnsi="Calibri" w:cs="Calibri"/>
                <w:sz w:val="18"/>
                <w:szCs w:val="18"/>
                <w:lang w:eastAsia="pl-PL"/>
              </w:rPr>
            </w:pPr>
            <w:r w:rsidRPr="00CB32F5">
              <w:rPr>
                <w:rFonts w:ascii="Calibri" w:eastAsia="Times New Roman" w:hAnsi="Calibri" w:cs="Calibri"/>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189FB93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6C21511E" w14:textId="77777777" w:rsidTr="00CB32F5">
        <w:trPr>
          <w:trHeight w:val="19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98519B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noWrap/>
            <w:vAlign w:val="bottom"/>
            <w:hideMark/>
          </w:tcPr>
          <w:p w14:paraId="62399E7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startowy do metody Northern</w:t>
            </w:r>
          </w:p>
        </w:tc>
        <w:tc>
          <w:tcPr>
            <w:tcW w:w="7264" w:type="dxa"/>
            <w:tcBorders>
              <w:top w:val="nil"/>
              <w:left w:val="nil"/>
              <w:bottom w:val="single" w:sz="4" w:space="0" w:color="auto"/>
              <w:right w:val="single" w:sz="4" w:space="0" w:color="auto"/>
            </w:tcBorders>
            <w:shd w:val="clear" w:color="000000" w:fill="FFFFFF"/>
            <w:vAlign w:val="bottom"/>
            <w:hideMark/>
          </w:tcPr>
          <w:p w14:paraId="5781DCA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startowy przeznaczony dla początkujących użytkowników systemu DIG, dla małej liczby reakcji. Służy do generowania jednoniciowych, znakowanych digoksygeniną sond RNA i wykrywania chemiluminescencyjnego.  </w:t>
            </w:r>
            <w:r w:rsidRPr="00CB32F5">
              <w:rPr>
                <w:rFonts w:ascii="Calibri" w:eastAsia="Times New Roman" w:hAnsi="Calibri" w:cs="Calibri"/>
                <w:color w:val="000000"/>
                <w:sz w:val="18"/>
                <w:szCs w:val="18"/>
                <w:lang w:eastAsia="pl-PL"/>
              </w:rPr>
              <w:br/>
              <w:t>Skład zestawu: 5x stężona mieszanina do znakowania, 5x bufor transkrypcyjny, SP6 RNA Polymeraza, T7 RNA Polymeraza,T3 RNA Polymeraza, przeciwciała any-DIG-AP, fragmenty FAB, odczynnik CDP, bufor hybrydyzacyjny w granulkach, 10x bufor blokujący, kontrolne znakowane RNA</w:t>
            </w:r>
          </w:p>
        </w:tc>
        <w:tc>
          <w:tcPr>
            <w:tcW w:w="1584" w:type="dxa"/>
            <w:tcBorders>
              <w:top w:val="nil"/>
              <w:left w:val="nil"/>
              <w:bottom w:val="single" w:sz="4" w:space="0" w:color="auto"/>
              <w:right w:val="single" w:sz="4" w:space="0" w:color="auto"/>
            </w:tcBorders>
            <w:shd w:val="clear" w:color="000000" w:fill="FFFFFF"/>
            <w:vAlign w:val="bottom"/>
            <w:hideMark/>
          </w:tcPr>
          <w:p w14:paraId="2BFBCCB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10 blotów</w:t>
            </w:r>
          </w:p>
        </w:tc>
        <w:tc>
          <w:tcPr>
            <w:tcW w:w="787" w:type="dxa"/>
            <w:tcBorders>
              <w:top w:val="nil"/>
              <w:left w:val="nil"/>
              <w:bottom w:val="single" w:sz="4" w:space="0" w:color="auto"/>
              <w:right w:val="single" w:sz="4" w:space="0" w:color="auto"/>
            </w:tcBorders>
            <w:shd w:val="clear" w:color="000000" w:fill="FFFFFF"/>
            <w:noWrap/>
            <w:vAlign w:val="bottom"/>
            <w:hideMark/>
          </w:tcPr>
          <w:p w14:paraId="75E84EB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E63CC1C"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531EF6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77B9ED8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Bufor do hybrydyzacji w postaci granulek</w:t>
            </w:r>
          </w:p>
        </w:tc>
        <w:tc>
          <w:tcPr>
            <w:tcW w:w="7264" w:type="dxa"/>
            <w:tcBorders>
              <w:top w:val="nil"/>
              <w:left w:val="nil"/>
              <w:bottom w:val="single" w:sz="4" w:space="0" w:color="auto"/>
              <w:right w:val="single" w:sz="4" w:space="0" w:color="auto"/>
            </w:tcBorders>
            <w:shd w:val="clear" w:color="000000" w:fill="FFFFFF"/>
            <w:vAlign w:val="bottom"/>
            <w:hideMark/>
          </w:tcPr>
          <w:p w14:paraId="32D9325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 nietoksyczny, gotowy do użycia bufor do hybrydyzacji błonowej przy użyciu nieradioaktywnych (znakowanych digoksygeniną) sond kwasów nukleinowych. Bufor nie zawiera formamidu, ale umożliwia obniżenie temperatury hybrydyzacji porównywalne z buforami zawierającymi 50% formamidu. Jest specjalnie zaprojektowany do użytku z zestawami DIG.</w:t>
            </w:r>
          </w:p>
        </w:tc>
        <w:tc>
          <w:tcPr>
            <w:tcW w:w="1584" w:type="dxa"/>
            <w:tcBorders>
              <w:top w:val="nil"/>
              <w:left w:val="nil"/>
              <w:bottom w:val="single" w:sz="4" w:space="0" w:color="auto"/>
              <w:right w:val="single" w:sz="4" w:space="0" w:color="auto"/>
            </w:tcBorders>
            <w:shd w:val="clear" w:color="000000" w:fill="FFFFFF"/>
            <w:vAlign w:val="bottom"/>
            <w:hideMark/>
          </w:tcPr>
          <w:p w14:paraId="516D5B1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 X 100 ML</w:t>
            </w:r>
          </w:p>
        </w:tc>
        <w:tc>
          <w:tcPr>
            <w:tcW w:w="787" w:type="dxa"/>
            <w:tcBorders>
              <w:top w:val="nil"/>
              <w:left w:val="nil"/>
              <w:bottom w:val="single" w:sz="4" w:space="0" w:color="auto"/>
              <w:right w:val="single" w:sz="4" w:space="0" w:color="auto"/>
            </w:tcBorders>
            <w:shd w:val="clear" w:color="000000" w:fill="FFFFFF"/>
            <w:vAlign w:val="bottom"/>
            <w:hideMark/>
          </w:tcPr>
          <w:p w14:paraId="6B4B9A1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1F2A295"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59A20F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vAlign w:val="bottom"/>
            <w:hideMark/>
          </w:tcPr>
          <w:p w14:paraId="64EF98E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buforów do przemywania i blokowania membran znakowanych DIG w metodzie Northern</w:t>
            </w:r>
          </w:p>
        </w:tc>
        <w:tc>
          <w:tcPr>
            <w:tcW w:w="7264" w:type="dxa"/>
            <w:tcBorders>
              <w:top w:val="nil"/>
              <w:left w:val="nil"/>
              <w:bottom w:val="single" w:sz="4" w:space="0" w:color="auto"/>
              <w:right w:val="single" w:sz="4" w:space="0" w:color="auto"/>
            </w:tcBorders>
            <w:shd w:val="clear" w:color="000000" w:fill="FFFFFF"/>
            <w:vAlign w:val="bottom"/>
            <w:hideMark/>
          </w:tcPr>
          <w:p w14:paraId="56CA4C8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 skład zestawu wchodzą: 10x stężony bufor przemywający, 10x stężony bufor maleinowy, 10x stężony bufor do blokowania, 10x stężony bufory do detekcji</w:t>
            </w:r>
          </w:p>
        </w:tc>
        <w:tc>
          <w:tcPr>
            <w:tcW w:w="1584" w:type="dxa"/>
            <w:tcBorders>
              <w:top w:val="nil"/>
              <w:left w:val="nil"/>
              <w:bottom w:val="single" w:sz="4" w:space="0" w:color="auto"/>
              <w:right w:val="single" w:sz="4" w:space="0" w:color="auto"/>
            </w:tcBorders>
            <w:shd w:val="clear" w:color="000000" w:fill="FFFFFF"/>
            <w:vAlign w:val="bottom"/>
            <w:hideMark/>
          </w:tcPr>
          <w:p w14:paraId="29E5E89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w:t>
            </w:r>
          </w:p>
        </w:tc>
        <w:tc>
          <w:tcPr>
            <w:tcW w:w="787" w:type="dxa"/>
            <w:tcBorders>
              <w:top w:val="nil"/>
              <w:left w:val="nil"/>
              <w:bottom w:val="single" w:sz="4" w:space="0" w:color="auto"/>
              <w:right w:val="single" w:sz="4" w:space="0" w:color="auto"/>
            </w:tcBorders>
            <w:shd w:val="clear" w:color="000000" w:fill="FFFFFF"/>
            <w:vAlign w:val="bottom"/>
            <w:hideMark/>
          </w:tcPr>
          <w:p w14:paraId="7419197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5C797735" w14:textId="77777777" w:rsidTr="00CB32F5">
        <w:trPr>
          <w:trHeight w:val="14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453D20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4</w:t>
            </w:r>
          </w:p>
        </w:tc>
        <w:tc>
          <w:tcPr>
            <w:tcW w:w="3129" w:type="dxa"/>
            <w:tcBorders>
              <w:top w:val="nil"/>
              <w:left w:val="nil"/>
              <w:bottom w:val="single" w:sz="4" w:space="0" w:color="auto"/>
              <w:right w:val="single" w:sz="4" w:space="0" w:color="auto"/>
            </w:tcBorders>
            <w:shd w:val="clear" w:color="000000" w:fill="FFFFFF"/>
            <w:vAlign w:val="bottom"/>
            <w:hideMark/>
          </w:tcPr>
          <w:p w14:paraId="2EACE3E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detekcji luminescencji DIG</w:t>
            </w:r>
          </w:p>
        </w:tc>
        <w:tc>
          <w:tcPr>
            <w:tcW w:w="7264" w:type="dxa"/>
            <w:tcBorders>
              <w:top w:val="nil"/>
              <w:left w:val="nil"/>
              <w:bottom w:val="single" w:sz="4" w:space="0" w:color="auto"/>
              <w:right w:val="single" w:sz="4" w:space="0" w:color="auto"/>
            </w:tcBorders>
            <w:shd w:val="clear" w:color="000000" w:fill="FFFFFF"/>
            <w:vAlign w:val="bottom"/>
            <w:hideMark/>
          </w:tcPr>
          <w:p w14:paraId="39AF2C5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służy do wykrywania kwasów nukleinowych znakowanych digoksygeniną (DIG) w teście immunoenzymatycznym z luminescencją na błonach nylonowych. </w:t>
            </w:r>
            <w:r w:rsidRPr="00CB32F5">
              <w:rPr>
                <w:rFonts w:ascii="Calibri" w:eastAsia="Times New Roman" w:hAnsi="Calibri" w:cs="Calibri"/>
                <w:color w:val="000000"/>
                <w:sz w:val="18"/>
                <w:szCs w:val="18"/>
                <w:lang w:eastAsia="pl-PL"/>
              </w:rPr>
              <w:br/>
              <w:t>Zestaw zawiera: kontrolne znakowane DIG DNA, bufor do rozcieńczeń DNA, Poliklonalne przeciwciała anty-digoksygenina skoniugowane z alkaliczną fosfatazą, bufor do blokowania, odczynnik CSPD</w:t>
            </w:r>
          </w:p>
        </w:tc>
        <w:tc>
          <w:tcPr>
            <w:tcW w:w="1584" w:type="dxa"/>
            <w:tcBorders>
              <w:top w:val="nil"/>
              <w:left w:val="nil"/>
              <w:bottom w:val="single" w:sz="4" w:space="0" w:color="auto"/>
              <w:right w:val="single" w:sz="4" w:space="0" w:color="auto"/>
            </w:tcBorders>
            <w:shd w:val="clear" w:color="000000" w:fill="FFFFFF"/>
            <w:vAlign w:val="bottom"/>
            <w:hideMark/>
          </w:tcPr>
          <w:p w14:paraId="104409C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blotów</w:t>
            </w:r>
          </w:p>
        </w:tc>
        <w:tc>
          <w:tcPr>
            <w:tcW w:w="787" w:type="dxa"/>
            <w:tcBorders>
              <w:top w:val="nil"/>
              <w:left w:val="nil"/>
              <w:bottom w:val="single" w:sz="4" w:space="0" w:color="auto"/>
              <w:right w:val="single" w:sz="4" w:space="0" w:color="auto"/>
            </w:tcBorders>
            <w:shd w:val="clear" w:color="000000" w:fill="FFFFFF"/>
            <w:vAlign w:val="bottom"/>
            <w:hideMark/>
          </w:tcPr>
          <w:p w14:paraId="1D36DAE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579563B6" w14:textId="77777777" w:rsidTr="00CB32F5">
        <w:trPr>
          <w:trHeight w:val="14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ADF268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vAlign w:val="bottom"/>
            <w:hideMark/>
          </w:tcPr>
          <w:p w14:paraId="1DD6406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znakowania DIG RNA</w:t>
            </w:r>
          </w:p>
        </w:tc>
        <w:tc>
          <w:tcPr>
            <w:tcW w:w="7264" w:type="dxa"/>
            <w:tcBorders>
              <w:top w:val="nil"/>
              <w:left w:val="nil"/>
              <w:bottom w:val="single" w:sz="4" w:space="0" w:color="auto"/>
              <w:right w:val="single" w:sz="4" w:space="0" w:color="auto"/>
            </w:tcBorders>
            <w:shd w:val="clear" w:color="000000" w:fill="FFFFFF"/>
            <w:vAlign w:val="bottom"/>
            <w:hideMark/>
          </w:tcPr>
          <w:p w14:paraId="3F71286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znakowania RNA digoksygeniną-UTP metodą transkrypcji in vitro przy użyciu polimeraz SP6 i T7. Otrzymuje się jednoniciowe sondy RNA o znanej długości, które można stosować w różnych technikach hybrydyzacji, np. Northern blot.</w:t>
            </w:r>
            <w:r w:rsidRPr="00CB32F5">
              <w:rPr>
                <w:rFonts w:ascii="Calibri" w:eastAsia="Times New Roman" w:hAnsi="Calibri" w:cs="Calibri"/>
                <w:color w:val="000000"/>
                <w:sz w:val="18"/>
                <w:szCs w:val="18"/>
                <w:lang w:eastAsia="pl-PL"/>
              </w:rPr>
              <w:br/>
              <w:t>Skład zestawu: plazmid pSPT18 oraz pSPT19 , kontrolne DNA 1 i 2, kontrolny znakowany DIG RNA, nieznakowany kontrolny RNA, mieszanina 10x stężonych NTP znakowanych</w:t>
            </w:r>
          </w:p>
        </w:tc>
        <w:tc>
          <w:tcPr>
            <w:tcW w:w="1584" w:type="dxa"/>
            <w:tcBorders>
              <w:top w:val="nil"/>
              <w:left w:val="nil"/>
              <w:bottom w:val="single" w:sz="4" w:space="0" w:color="auto"/>
              <w:right w:val="single" w:sz="4" w:space="0" w:color="auto"/>
            </w:tcBorders>
            <w:shd w:val="clear" w:color="000000" w:fill="FFFFFF"/>
            <w:vAlign w:val="bottom"/>
            <w:hideMark/>
          </w:tcPr>
          <w:p w14:paraId="7326C1D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2x 10 reakcji</w:t>
            </w:r>
          </w:p>
        </w:tc>
        <w:tc>
          <w:tcPr>
            <w:tcW w:w="787" w:type="dxa"/>
            <w:tcBorders>
              <w:top w:val="nil"/>
              <w:left w:val="nil"/>
              <w:bottom w:val="single" w:sz="4" w:space="0" w:color="auto"/>
              <w:right w:val="single" w:sz="4" w:space="0" w:color="auto"/>
            </w:tcBorders>
            <w:shd w:val="clear" w:color="000000" w:fill="FFFFFF"/>
            <w:vAlign w:val="bottom"/>
            <w:hideMark/>
          </w:tcPr>
          <w:p w14:paraId="30E8371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E3BC731"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91F237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c>
          <w:tcPr>
            <w:tcW w:w="3129" w:type="dxa"/>
            <w:tcBorders>
              <w:top w:val="nil"/>
              <w:left w:val="nil"/>
              <w:bottom w:val="single" w:sz="4" w:space="0" w:color="auto"/>
              <w:right w:val="single" w:sz="4" w:space="0" w:color="auto"/>
            </w:tcBorders>
            <w:shd w:val="clear" w:color="000000" w:fill="FFFFFF"/>
            <w:vAlign w:val="bottom"/>
            <w:hideMark/>
          </w:tcPr>
          <w:p w14:paraId="5AA0911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Przeciwciała owcze anty-digoksygenina-alkaliczna fosfataza, Fab fragmenty </w:t>
            </w:r>
          </w:p>
        </w:tc>
        <w:tc>
          <w:tcPr>
            <w:tcW w:w="7264" w:type="dxa"/>
            <w:tcBorders>
              <w:top w:val="nil"/>
              <w:left w:val="nil"/>
              <w:bottom w:val="single" w:sz="4" w:space="0" w:color="auto"/>
              <w:right w:val="single" w:sz="4" w:space="0" w:color="auto"/>
            </w:tcBorders>
            <w:shd w:val="clear" w:color="000000" w:fill="FFFFFF"/>
            <w:vAlign w:val="bottom"/>
            <w:hideMark/>
          </w:tcPr>
          <w:p w14:paraId="5CEA87F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Poliklonalne przeciwciała anty-digoksygenina skoniugowane z alkaliczną fosfatazą są przydatne do wykrywania związków znakowanych digoksygeniną. </w:t>
            </w:r>
          </w:p>
        </w:tc>
        <w:tc>
          <w:tcPr>
            <w:tcW w:w="1584" w:type="dxa"/>
            <w:tcBorders>
              <w:top w:val="nil"/>
              <w:left w:val="nil"/>
              <w:bottom w:val="single" w:sz="4" w:space="0" w:color="auto"/>
              <w:right w:val="single" w:sz="4" w:space="0" w:color="auto"/>
            </w:tcBorders>
            <w:shd w:val="clear" w:color="000000" w:fill="FFFFFF"/>
            <w:vAlign w:val="bottom"/>
            <w:hideMark/>
          </w:tcPr>
          <w:p w14:paraId="2C6F684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200 μL (150 U)</w:t>
            </w:r>
          </w:p>
        </w:tc>
        <w:tc>
          <w:tcPr>
            <w:tcW w:w="787" w:type="dxa"/>
            <w:tcBorders>
              <w:top w:val="nil"/>
              <w:left w:val="nil"/>
              <w:bottom w:val="single" w:sz="4" w:space="0" w:color="auto"/>
              <w:right w:val="single" w:sz="4" w:space="0" w:color="auto"/>
            </w:tcBorders>
            <w:shd w:val="clear" w:color="000000" w:fill="FFFFFF"/>
            <w:vAlign w:val="bottom"/>
            <w:hideMark/>
          </w:tcPr>
          <w:p w14:paraId="48FF1E5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721DB3F" w14:textId="77777777" w:rsidTr="00CB32F5">
        <w:trPr>
          <w:trHeight w:val="265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655AFF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304C78A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Specyficzny odczynnik do ekstrakcji białek</w:t>
            </w:r>
          </w:p>
        </w:tc>
        <w:tc>
          <w:tcPr>
            <w:tcW w:w="7264" w:type="dxa"/>
            <w:tcBorders>
              <w:top w:val="nil"/>
              <w:left w:val="nil"/>
              <w:bottom w:val="single" w:sz="4" w:space="0" w:color="auto"/>
              <w:right w:val="single" w:sz="4" w:space="0" w:color="auto"/>
            </w:tcBorders>
            <w:shd w:val="clear" w:color="000000" w:fill="FFFFFF"/>
            <w:vAlign w:val="bottom"/>
            <w:hideMark/>
          </w:tcPr>
          <w:p w14:paraId="00BDD4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to zbuforowana mieszanina stężonych detergentów opracowana do ekstrakcji białek z komórek E. coli bezpośrednio w ich pożywce hodowlanej, odczynnik perforuje ścianę komórkową E. coli bez denaturacji rozpuszczalnego białka i chroni białko przed skrajnymi wartościami pH wytwarzanymi w pożywkach hodowlanych o wysokiej gęstości. </w:t>
            </w:r>
          </w:p>
        </w:tc>
        <w:tc>
          <w:tcPr>
            <w:tcW w:w="1584" w:type="dxa"/>
            <w:tcBorders>
              <w:top w:val="nil"/>
              <w:left w:val="nil"/>
              <w:bottom w:val="single" w:sz="4" w:space="0" w:color="auto"/>
              <w:right w:val="single" w:sz="4" w:space="0" w:color="auto"/>
            </w:tcBorders>
            <w:shd w:val="clear" w:color="000000" w:fill="FFFFFF"/>
            <w:vAlign w:val="bottom"/>
            <w:hideMark/>
          </w:tcPr>
          <w:p w14:paraId="0D9765B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 ML</w:t>
            </w:r>
          </w:p>
        </w:tc>
        <w:tc>
          <w:tcPr>
            <w:tcW w:w="787" w:type="dxa"/>
            <w:tcBorders>
              <w:top w:val="nil"/>
              <w:left w:val="nil"/>
              <w:bottom w:val="single" w:sz="4" w:space="0" w:color="auto"/>
              <w:right w:val="single" w:sz="4" w:space="0" w:color="auto"/>
            </w:tcBorders>
            <w:shd w:val="clear" w:color="000000" w:fill="FFFFFF"/>
            <w:vAlign w:val="bottom"/>
            <w:hideMark/>
          </w:tcPr>
          <w:p w14:paraId="0425545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07CBD911"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8E4DA3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5E94356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Membrana nylonowa do metody Northern, pozytywnie naładowana</w:t>
            </w:r>
          </w:p>
        </w:tc>
        <w:tc>
          <w:tcPr>
            <w:tcW w:w="7264" w:type="dxa"/>
            <w:tcBorders>
              <w:top w:val="nil"/>
              <w:left w:val="nil"/>
              <w:bottom w:val="single" w:sz="4" w:space="0" w:color="auto"/>
              <w:right w:val="single" w:sz="4" w:space="0" w:color="auto"/>
            </w:tcBorders>
            <w:shd w:val="clear" w:color="000000" w:fill="FFFFFF"/>
            <w:vAlign w:val="bottom"/>
            <w:hideMark/>
          </w:tcPr>
          <w:p w14:paraId="76D1823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membrana nylonowa stosowana do hybrydyzacji z nieradioaktywnie (np. digoksygenina lub biotyna) i radioaktywnie (np. [32P], [35S], [3H]) znakowanym DNA, RNA lub sondy oligonukleotydowymi</w:t>
            </w:r>
          </w:p>
        </w:tc>
        <w:tc>
          <w:tcPr>
            <w:tcW w:w="1584" w:type="dxa"/>
            <w:tcBorders>
              <w:top w:val="nil"/>
              <w:left w:val="nil"/>
              <w:bottom w:val="single" w:sz="4" w:space="0" w:color="auto"/>
              <w:right w:val="single" w:sz="4" w:space="0" w:color="auto"/>
            </w:tcBorders>
            <w:shd w:val="clear" w:color="000000" w:fill="FFFFFF"/>
            <w:vAlign w:val="bottom"/>
            <w:hideMark/>
          </w:tcPr>
          <w:p w14:paraId="5E7E457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rolka</w:t>
            </w:r>
          </w:p>
        </w:tc>
        <w:tc>
          <w:tcPr>
            <w:tcW w:w="787" w:type="dxa"/>
            <w:tcBorders>
              <w:top w:val="nil"/>
              <w:left w:val="nil"/>
              <w:bottom w:val="single" w:sz="4" w:space="0" w:color="auto"/>
              <w:right w:val="single" w:sz="4" w:space="0" w:color="auto"/>
            </w:tcBorders>
            <w:shd w:val="clear" w:color="000000" w:fill="FFFFFF"/>
            <w:vAlign w:val="bottom"/>
            <w:hideMark/>
          </w:tcPr>
          <w:p w14:paraId="2D3C927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41DE786" w14:textId="77777777" w:rsidTr="00E63D1D">
        <w:trPr>
          <w:trHeight w:val="12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33D3E3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5F87BDD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Mikrokolumny </w:t>
            </w:r>
          </w:p>
        </w:tc>
        <w:tc>
          <w:tcPr>
            <w:tcW w:w="7264" w:type="dxa"/>
            <w:tcBorders>
              <w:top w:val="nil"/>
              <w:left w:val="nil"/>
              <w:bottom w:val="single" w:sz="4" w:space="0" w:color="auto"/>
              <w:right w:val="single" w:sz="4" w:space="0" w:color="auto"/>
            </w:tcBorders>
            <w:shd w:val="clear" w:color="000000" w:fill="FFFFFF"/>
            <w:vAlign w:val="bottom"/>
            <w:hideMark/>
          </w:tcPr>
          <w:p w14:paraId="758B758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Mikrokolumny wykorzystujące chromatografię spin-kolumnową do oczyszczania znakowanych sond z niewbudowanych znakowanych nukleotydów (w objętości od 25 do 50 μl).</w:t>
            </w:r>
            <w:r w:rsidRPr="00CB32F5">
              <w:rPr>
                <w:rFonts w:ascii="Calibri" w:eastAsia="Times New Roman" w:hAnsi="Calibri" w:cs="Calibri"/>
                <w:color w:val="000000"/>
                <w:sz w:val="18"/>
                <w:szCs w:val="18"/>
                <w:lang w:eastAsia="pl-PL"/>
              </w:rPr>
              <w:br/>
              <w:t xml:space="preserve">Kolumny są przeznaczone do użytku w mikrowirówce, są fabrycznie zapakowane w DNA klasy Sephadex G-50 i są wstępnie zrównoważone w STE, co oznacza, że są gotowe do użycia. </w:t>
            </w:r>
          </w:p>
        </w:tc>
        <w:tc>
          <w:tcPr>
            <w:tcW w:w="1584" w:type="dxa"/>
            <w:tcBorders>
              <w:top w:val="nil"/>
              <w:left w:val="nil"/>
              <w:bottom w:val="single" w:sz="4" w:space="0" w:color="auto"/>
              <w:right w:val="single" w:sz="4" w:space="0" w:color="auto"/>
            </w:tcBorders>
            <w:shd w:val="clear" w:color="000000" w:fill="FFFFFF"/>
            <w:vAlign w:val="bottom"/>
            <w:hideMark/>
          </w:tcPr>
          <w:p w14:paraId="02283C9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kolumn</w:t>
            </w:r>
          </w:p>
        </w:tc>
        <w:tc>
          <w:tcPr>
            <w:tcW w:w="787" w:type="dxa"/>
            <w:tcBorders>
              <w:top w:val="nil"/>
              <w:left w:val="nil"/>
              <w:bottom w:val="single" w:sz="4" w:space="0" w:color="auto"/>
              <w:right w:val="single" w:sz="4" w:space="0" w:color="auto"/>
            </w:tcBorders>
            <w:shd w:val="clear" w:color="000000" w:fill="FFFFFF"/>
            <w:vAlign w:val="bottom"/>
            <w:hideMark/>
          </w:tcPr>
          <w:p w14:paraId="5CA86B0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03F5C94B"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BF2F28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13</w:t>
            </w:r>
          </w:p>
        </w:tc>
        <w:tc>
          <w:tcPr>
            <w:tcW w:w="3129" w:type="dxa"/>
            <w:tcBorders>
              <w:top w:val="nil"/>
              <w:left w:val="nil"/>
              <w:bottom w:val="single" w:sz="4" w:space="0" w:color="auto"/>
              <w:right w:val="single" w:sz="4" w:space="0" w:color="auto"/>
            </w:tcBorders>
            <w:shd w:val="clear" w:color="000000" w:fill="FFFFFF"/>
            <w:vAlign w:val="bottom"/>
            <w:hideMark/>
          </w:tcPr>
          <w:p w14:paraId="7250071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kolagenu ze skóry bydlęcej (sterylny)</w:t>
            </w:r>
          </w:p>
        </w:tc>
        <w:tc>
          <w:tcPr>
            <w:tcW w:w="7264" w:type="dxa"/>
            <w:tcBorders>
              <w:top w:val="nil"/>
              <w:left w:val="nil"/>
              <w:bottom w:val="single" w:sz="4" w:space="0" w:color="auto"/>
              <w:right w:val="single" w:sz="4" w:space="0" w:color="auto"/>
            </w:tcBorders>
            <w:shd w:val="clear" w:color="000000" w:fill="FFFFFF"/>
            <w:vAlign w:val="bottom"/>
            <w:hideMark/>
          </w:tcPr>
          <w:p w14:paraId="032C6DC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Wysoce oczyszczony roztwór, który nadaje się do tworzenia matrycy 3-D w hodowli komórkowej. Żele kolagenowe 3-D imitują fizjologię komórkową in vivo lepiej niż tradycyjne systemy 2D.</w:t>
            </w:r>
          </w:p>
        </w:tc>
        <w:tc>
          <w:tcPr>
            <w:tcW w:w="1584" w:type="dxa"/>
            <w:tcBorders>
              <w:top w:val="nil"/>
              <w:left w:val="nil"/>
              <w:bottom w:val="single" w:sz="4" w:space="0" w:color="auto"/>
              <w:right w:val="single" w:sz="4" w:space="0" w:color="auto"/>
            </w:tcBorders>
            <w:shd w:val="clear" w:color="000000" w:fill="FFFFFF"/>
            <w:vAlign w:val="bottom"/>
            <w:hideMark/>
          </w:tcPr>
          <w:p w14:paraId="5A7C00C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 ML</w:t>
            </w:r>
          </w:p>
        </w:tc>
        <w:tc>
          <w:tcPr>
            <w:tcW w:w="787" w:type="dxa"/>
            <w:tcBorders>
              <w:top w:val="nil"/>
              <w:left w:val="nil"/>
              <w:bottom w:val="single" w:sz="4" w:space="0" w:color="auto"/>
              <w:right w:val="single" w:sz="4" w:space="0" w:color="auto"/>
            </w:tcBorders>
            <w:shd w:val="clear" w:color="000000" w:fill="FFFFFF"/>
            <w:vAlign w:val="bottom"/>
            <w:hideMark/>
          </w:tcPr>
          <w:p w14:paraId="623770F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648B6AF"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737E4A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14</w:t>
            </w:r>
          </w:p>
        </w:tc>
        <w:tc>
          <w:tcPr>
            <w:tcW w:w="3129" w:type="dxa"/>
            <w:tcBorders>
              <w:top w:val="nil"/>
              <w:left w:val="nil"/>
              <w:bottom w:val="single" w:sz="4" w:space="0" w:color="auto"/>
              <w:right w:val="single" w:sz="4" w:space="0" w:color="auto"/>
            </w:tcBorders>
            <w:shd w:val="clear" w:color="000000" w:fill="FFFFFF"/>
            <w:vAlign w:val="bottom"/>
            <w:hideMark/>
          </w:tcPr>
          <w:p w14:paraId="064B295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Selektywny agar do wzrostu Yersinia</w:t>
            </w:r>
          </w:p>
        </w:tc>
        <w:tc>
          <w:tcPr>
            <w:tcW w:w="7264" w:type="dxa"/>
            <w:tcBorders>
              <w:top w:val="nil"/>
              <w:left w:val="nil"/>
              <w:bottom w:val="single" w:sz="4" w:space="0" w:color="auto"/>
              <w:right w:val="single" w:sz="4" w:space="0" w:color="auto"/>
            </w:tcBorders>
            <w:shd w:val="clear" w:color="000000" w:fill="FFFFFF"/>
            <w:vAlign w:val="bottom"/>
            <w:hideMark/>
          </w:tcPr>
          <w:p w14:paraId="0C7EC10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mikrobiologiczne</w:t>
            </w:r>
          </w:p>
        </w:tc>
        <w:tc>
          <w:tcPr>
            <w:tcW w:w="1584" w:type="dxa"/>
            <w:tcBorders>
              <w:top w:val="nil"/>
              <w:left w:val="nil"/>
              <w:bottom w:val="single" w:sz="4" w:space="0" w:color="auto"/>
              <w:right w:val="single" w:sz="4" w:space="0" w:color="auto"/>
            </w:tcBorders>
            <w:shd w:val="clear" w:color="000000" w:fill="FFFFFF"/>
            <w:vAlign w:val="bottom"/>
            <w:hideMark/>
          </w:tcPr>
          <w:p w14:paraId="75C121F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0D4189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8D3D5E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E9513F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482BD40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MRS</w:t>
            </w:r>
          </w:p>
        </w:tc>
        <w:tc>
          <w:tcPr>
            <w:tcW w:w="7264" w:type="dxa"/>
            <w:tcBorders>
              <w:top w:val="nil"/>
              <w:left w:val="nil"/>
              <w:bottom w:val="single" w:sz="4" w:space="0" w:color="auto"/>
              <w:right w:val="single" w:sz="4" w:space="0" w:color="auto"/>
            </w:tcBorders>
            <w:shd w:val="clear" w:color="000000" w:fill="FFFFFF"/>
            <w:vAlign w:val="bottom"/>
            <w:hideMark/>
          </w:tcPr>
          <w:p w14:paraId="54710C1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służy do wykrywania obecności bakterii kwasu mlekowego rodzaju Lactobacillus.</w:t>
            </w:r>
          </w:p>
        </w:tc>
        <w:tc>
          <w:tcPr>
            <w:tcW w:w="1584" w:type="dxa"/>
            <w:tcBorders>
              <w:top w:val="nil"/>
              <w:left w:val="nil"/>
              <w:bottom w:val="single" w:sz="4" w:space="0" w:color="auto"/>
              <w:right w:val="single" w:sz="4" w:space="0" w:color="auto"/>
            </w:tcBorders>
            <w:shd w:val="clear" w:color="000000" w:fill="FFFFFF"/>
            <w:vAlign w:val="bottom"/>
            <w:hideMark/>
          </w:tcPr>
          <w:p w14:paraId="0FE8E2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7458AC3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A9562E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1C1FEF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16</w:t>
            </w:r>
          </w:p>
        </w:tc>
        <w:tc>
          <w:tcPr>
            <w:tcW w:w="3129" w:type="dxa"/>
            <w:tcBorders>
              <w:top w:val="nil"/>
              <w:left w:val="nil"/>
              <w:bottom w:val="single" w:sz="4" w:space="0" w:color="auto"/>
              <w:right w:val="single" w:sz="4" w:space="0" w:color="auto"/>
            </w:tcBorders>
            <w:shd w:val="clear" w:color="000000" w:fill="FFFFFF"/>
            <w:vAlign w:val="bottom"/>
            <w:hideMark/>
          </w:tcPr>
          <w:p w14:paraId="4A5F5A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Mueller Hinton</w:t>
            </w:r>
          </w:p>
        </w:tc>
        <w:tc>
          <w:tcPr>
            <w:tcW w:w="7264" w:type="dxa"/>
            <w:tcBorders>
              <w:top w:val="nil"/>
              <w:left w:val="nil"/>
              <w:bottom w:val="single" w:sz="4" w:space="0" w:color="auto"/>
              <w:right w:val="single" w:sz="4" w:space="0" w:color="auto"/>
            </w:tcBorders>
            <w:shd w:val="clear" w:color="000000" w:fill="FFFFFF"/>
            <w:vAlign w:val="bottom"/>
            <w:hideMark/>
          </w:tcPr>
          <w:p w14:paraId="4713EB6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stosowane do określania minimalnego stężenia hamującego (MIC).</w:t>
            </w:r>
          </w:p>
        </w:tc>
        <w:tc>
          <w:tcPr>
            <w:tcW w:w="1584" w:type="dxa"/>
            <w:tcBorders>
              <w:top w:val="nil"/>
              <w:left w:val="nil"/>
              <w:bottom w:val="single" w:sz="4" w:space="0" w:color="auto"/>
              <w:right w:val="single" w:sz="4" w:space="0" w:color="auto"/>
            </w:tcBorders>
            <w:shd w:val="clear" w:color="000000" w:fill="FFFFFF"/>
            <w:vAlign w:val="bottom"/>
            <w:hideMark/>
          </w:tcPr>
          <w:p w14:paraId="623BCEC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2B79614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0ED8D9A"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FFFA1F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17</w:t>
            </w:r>
          </w:p>
        </w:tc>
        <w:tc>
          <w:tcPr>
            <w:tcW w:w="3129" w:type="dxa"/>
            <w:tcBorders>
              <w:top w:val="nil"/>
              <w:left w:val="nil"/>
              <w:bottom w:val="single" w:sz="4" w:space="0" w:color="auto"/>
              <w:right w:val="single" w:sz="4" w:space="0" w:color="auto"/>
            </w:tcBorders>
            <w:shd w:val="clear" w:color="000000" w:fill="FFFFFF"/>
            <w:vAlign w:val="bottom"/>
            <w:hideMark/>
          </w:tcPr>
          <w:p w14:paraId="0CF5521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Bufor do hybrydyzacji</w:t>
            </w:r>
          </w:p>
        </w:tc>
        <w:tc>
          <w:tcPr>
            <w:tcW w:w="7264" w:type="dxa"/>
            <w:tcBorders>
              <w:top w:val="nil"/>
              <w:left w:val="nil"/>
              <w:bottom w:val="single" w:sz="4" w:space="0" w:color="auto"/>
              <w:right w:val="single" w:sz="4" w:space="0" w:color="auto"/>
            </w:tcBorders>
            <w:shd w:val="clear" w:color="000000" w:fill="FFFFFF"/>
            <w:vAlign w:val="bottom"/>
            <w:hideMark/>
          </w:tcPr>
          <w:p w14:paraId="3A5B937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bufor do hybrydyzacji do metody Northern i Southern blot, który skróca czas hybrydyzacji do dwóch godzin.</w:t>
            </w:r>
          </w:p>
        </w:tc>
        <w:tc>
          <w:tcPr>
            <w:tcW w:w="1584" w:type="dxa"/>
            <w:tcBorders>
              <w:top w:val="nil"/>
              <w:left w:val="nil"/>
              <w:bottom w:val="single" w:sz="4" w:space="0" w:color="auto"/>
              <w:right w:val="single" w:sz="4" w:space="0" w:color="auto"/>
            </w:tcBorders>
            <w:shd w:val="clear" w:color="000000" w:fill="FFFFFF"/>
            <w:vAlign w:val="bottom"/>
            <w:hideMark/>
          </w:tcPr>
          <w:p w14:paraId="6635759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2BED7D5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F41BFDF"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45E2C7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18</w:t>
            </w:r>
          </w:p>
        </w:tc>
        <w:tc>
          <w:tcPr>
            <w:tcW w:w="3129" w:type="dxa"/>
            <w:tcBorders>
              <w:top w:val="nil"/>
              <w:left w:val="nil"/>
              <w:bottom w:val="single" w:sz="4" w:space="0" w:color="auto"/>
              <w:right w:val="single" w:sz="4" w:space="0" w:color="auto"/>
            </w:tcBorders>
            <w:shd w:val="clear" w:color="000000" w:fill="FFFFFF"/>
            <w:vAlign w:val="bottom"/>
            <w:hideMark/>
          </w:tcPr>
          <w:p w14:paraId="6BDD34D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Sole żółci</w:t>
            </w:r>
          </w:p>
        </w:tc>
        <w:tc>
          <w:tcPr>
            <w:tcW w:w="7264" w:type="dxa"/>
            <w:tcBorders>
              <w:top w:val="nil"/>
              <w:left w:val="nil"/>
              <w:bottom w:val="single" w:sz="4" w:space="0" w:color="auto"/>
              <w:right w:val="single" w:sz="4" w:space="0" w:color="auto"/>
            </w:tcBorders>
            <w:shd w:val="clear" w:color="000000" w:fill="FFFFFF"/>
            <w:vAlign w:val="bottom"/>
            <w:hideMark/>
          </w:tcPr>
          <w:p w14:paraId="2041D56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cholanu sodu i deoksycholanu sodu, dodatek do podłóż mikrobiologicznych</w:t>
            </w:r>
          </w:p>
        </w:tc>
        <w:tc>
          <w:tcPr>
            <w:tcW w:w="1584" w:type="dxa"/>
            <w:tcBorders>
              <w:top w:val="nil"/>
              <w:left w:val="nil"/>
              <w:bottom w:val="single" w:sz="4" w:space="0" w:color="auto"/>
              <w:right w:val="single" w:sz="4" w:space="0" w:color="auto"/>
            </w:tcBorders>
            <w:shd w:val="clear" w:color="000000" w:fill="FFFFFF"/>
            <w:vAlign w:val="bottom"/>
            <w:hideMark/>
          </w:tcPr>
          <w:p w14:paraId="18A3D50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vAlign w:val="bottom"/>
            <w:hideMark/>
          </w:tcPr>
          <w:p w14:paraId="602FA7B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370D350"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6A7DD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19</w:t>
            </w:r>
          </w:p>
        </w:tc>
        <w:tc>
          <w:tcPr>
            <w:tcW w:w="3129" w:type="dxa"/>
            <w:tcBorders>
              <w:top w:val="nil"/>
              <w:left w:val="nil"/>
              <w:bottom w:val="single" w:sz="4" w:space="0" w:color="auto"/>
              <w:right w:val="single" w:sz="4" w:space="0" w:color="auto"/>
            </w:tcBorders>
            <w:shd w:val="clear" w:color="000000" w:fill="FFFFFF"/>
            <w:vAlign w:val="bottom"/>
            <w:hideMark/>
          </w:tcPr>
          <w:p w14:paraId="686990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Przeciwciała królicze IgG anty-mysie skoniugowane z peroksydazą chrzanową</w:t>
            </w:r>
          </w:p>
        </w:tc>
        <w:tc>
          <w:tcPr>
            <w:tcW w:w="7264" w:type="dxa"/>
            <w:tcBorders>
              <w:top w:val="nil"/>
              <w:left w:val="nil"/>
              <w:bottom w:val="single" w:sz="4" w:space="0" w:color="auto"/>
              <w:right w:val="single" w:sz="4" w:space="0" w:color="auto"/>
            </w:tcBorders>
            <w:shd w:val="clear" w:color="000000" w:fill="FFFFFF"/>
            <w:vAlign w:val="bottom"/>
            <w:hideMark/>
          </w:tcPr>
          <w:p w14:paraId="34D63C6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pochodzenie biologiczne: królik; białko sprzężone z enzymem peroksydazą chrzanową; forma przeciwciała: F(ab′)2 fragment; typ przeciwciała: przeciwciała drugorzędowe; poliklonalne; anty-mysie; zastosowanie: metoda Western blot</w:t>
            </w:r>
          </w:p>
        </w:tc>
        <w:tc>
          <w:tcPr>
            <w:tcW w:w="1584" w:type="dxa"/>
            <w:tcBorders>
              <w:top w:val="nil"/>
              <w:left w:val="nil"/>
              <w:bottom w:val="single" w:sz="4" w:space="0" w:color="auto"/>
              <w:right w:val="single" w:sz="4" w:space="0" w:color="auto"/>
            </w:tcBorders>
            <w:shd w:val="clear" w:color="000000" w:fill="FFFFFF"/>
            <w:vAlign w:val="bottom"/>
            <w:hideMark/>
          </w:tcPr>
          <w:p w14:paraId="19D7111C" w14:textId="547C0D2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r w:rsidR="00EB6C2E">
              <w:rPr>
                <w:rFonts w:ascii="Calibri" w:eastAsia="Times New Roman" w:hAnsi="Calibri" w:cs="Calibri"/>
                <w:color w:val="000000"/>
                <w:sz w:val="18"/>
                <w:szCs w:val="18"/>
                <w:lang w:eastAsia="pl-PL"/>
              </w:rPr>
              <w:t>,5</w:t>
            </w:r>
            <w:r w:rsidRPr="00CB32F5">
              <w:rPr>
                <w:rFonts w:ascii="Calibri" w:eastAsia="Times New Roman" w:hAnsi="Calibri" w:cs="Calibri"/>
                <w:color w:val="000000"/>
                <w:sz w:val="18"/>
                <w:szCs w:val="18"/>
                <w:lang w:eastAsia="pl-PL"/>
              </w:rPr>
              <w:t xml:space="preserve"> ML</w:t>
            </w:r>
          </w:p>
        </w:tc>
        <w:tc>
          <w:tcPr>
            <w:tcW w:w="787" w:type="dxa"/>
            <w:tcBorders>
              <w:top w:val="nil"/>
              <w:left w:val="nil"/>
              <w:bottom w:val="single" w:sz="4" w:space="0" w:color="auto"/>
              <w:right w:val="single" w:sz="4" w:space="0" w:color="auto"/>
            </w:tcBorders>
            <w:shd w:val="clear" w:color="000000" w:fill="FFFFFF"/>
            <w:vAlign w:val="bottom"/>
            <w:hideMark/>
          </w:tcPr>
          <w:p w14:paraId="6AB817A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6E530DE"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A6775E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c>
          <w:tcPr>
            <w:tcW w:w="3129" w:type="dxa"/>
            <w:tcBorders>
              <w:top w:val="nil"/>
              <w:left w:val="nil"/>
              <w:bottom w:val="single" w:sz="4" w:space="0" w:color="auto"/>
              <w:right w:val="single" w:sz="4" w:space="0" w:color="auto"/>
            </w:tcBorders>
            <w:shd w:val="clear" w:color="000000" w:fill="FFFFFF"/>
            <w:vAlign w:val="bottom"/>
            <w:hideMark/>
          </w:tcPr>
          <w:p w14:paraId="3E22466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Przeciwciała kozie IgG anty-królicze skoniugowane z peroksydazą chrzanową</w:t>
            </w:r>
          </w:p>
        </w:tc>
        <w:tc>
          <w:tcPr>
            <w:tcW w:w="7264" w:type="dxa"/>
            <w:tcBorders>
              <w:top w:val="nil"/>
              <w:left w:val="nil"/>
              <w:bottom w:val="single" w:sz="4" w:space="0" w:color="auto"/>
              <w:right w:val="single" w:sz="4" w:space="0" w:color="auto"/>
            </w:tcBorders>
            <w:shd w:val="clear" w:color="000000" w:fill="FFFFFF"/>
            <w:vAlign w:val="bottom"/>
            <w:hideMark/>
          </w:tcPr>
          <w:p w14:paraId="43F4AFF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pochodzenie biologiczne: koza; białko sprzężone z enzymem peroksydazą chrzanową; forma przeciwciała: oczyszczona immunoglobulina (IgG); typ przeciwciała: przeciwciała drugorzędowe; poliklonalne; anty-królicze; stężenie: 1 mg/mL; zastosowanie: metoda Western blot</w:t>
            </w:r>
          </w:p>
        </w:tc>
        <w:tc>
          <w:tcPr>
            <w:tcW w:w="1584" w:type="dxa"/>
            <w:tcBorders>
              <w:top w:val="nil"/>
              <w:left w:val="nil"/>
              <w:bottom w:val="single" w:sz="4" w:space="0" w:color="auto"/>
              <w:right w:val="single" w:sz="4" w:space="0" w:color="auto"/>
            </w:tcBorders>
            <w:shd w:val="clear" w:color="000000" w:fill="FFFFFF"/>
            <w:vAlign w:val="bottom"/>
            <w:hideMark/>
          </w:tcPr>
          <w:p w14:paraId="1D0EA36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ML</w:t>
            </w:r>
          </w:p>
        </w:tc>
        <w:tc>
          <w:tcPr>
            <w:tcW w:w="787" w:type="dxa"/>
            <w:tcBorders>
              <w:top w:val="nil"/>
              <w:left w:val="nil"/>
              <w:bottom w:val="single" w:sz="4" w:space="0" w:color="auto"/>
              <w:right w:val="single" w:sz="4" w:space="0" w:color="auto"/>
            </w:tcBorders>
            <w:shd w:val="clear" w:color="000000" w:fill="FFFFFF"/>
            <w:vAlign w:val="bottom"/>
            <w:hideMark/>
          </w:tcPr>
          <w:p w14:paraId="55A004C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82DAC88"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190B34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21</w:t>
            </w:r>
          </w:p>
        </w:tc>
        <w:tc>
          <w:tcPr>
            <w:tcW w:w="3129" w:type="dxa"/>
            <w:tcBorders>
              <w:top w:val="nil"/>
              <w:left w:val="nil"/>
              <w:bottom w:val="single" w:sz="4" w:space="0" w:color="auto"/>
              <w:right w:val="single" w:sz="4" w:space="0" w:color="auto"/>
            </w:tcBorders>
            <w:shd w:val="clear" w:color="000000" w:fill="FFFFFF"/>
            <w:vAlign w:val="bottom"/>
            <w:hideMark/>
          </w:tcPr>
          <w:p w14:paraId="373A83B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Przeciwciała królicze anty-FLAG skoniugowane z peroksydazą</w:t>
            </w:r>
          </w:p>
        </w:tc>
        <w:tc>
          <w:tcPr>
            <w:tcW w:w="7264" w:type="dxa"/>
            <w:tcBorders>
              <w:top w:val="nil"/>
              <w:left w:val="nil"/>
              <w:bottom w:val="single" w:sz="4" w:space="0" w:color="auto"/>
              <w:right w:val="single" w:sz="4" w:space="0" w:color="auto"/>
            </w:tcBorders>
            <w:shd w:val="clear" w:color="000000" w:fill="FFFFFF"/>
            <w:vAlign w:val="bottom"/>
            <w:hideMark/>
          </w:tcPr>
          <w:p w14:paraId="5ADC8E1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Pochodzenie biologiczne: królik; Przeciwciała rozpoznające peptyd FLAG (N-Asp-Tyr-Lys-Asp-AspAsp-Asp-Lys-C); Sugerowane rozcieńczenie: 1:2000 – 1:4000; forma przeciwciała: frakcja immunoglobulin (IgG); liofilizat</w:t>
            </w:r>
          </w:p>
        </w:tc>
        <w:tc>
          <w:tcPr>
            <w:tcW w:w="1584" w:type="dxa"/>
            <w:tcBorders>
              <w:top w:val="nil"/>
              <w:left w:val="nil"/>
              <w:bottom w:val="single" w:sz="4" w:space="0" w:color="auto"/>
              <w:right w:val="single" w:sz="4" w:space="0" w:color="auto"/>
            </w:tcBorders>
            <w:shd w:val="clear" w:color="000000" w:fill="FFFFFF"/>
            <w:vAlign w:val="bottom"/>
            <w:hideMark/>
          </w:tcPr>
          <w:p w14:paraId="5A43536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fiolka</w:t>
            </w:r>
          </w:p>
        </w:tc>
        <w:tc>
          <w:tcPr>
            <w:tcW w:w="787" w:type="dxa"/>
            <w:tcBorders>
              <w:top w:val="nil"/>
              <w:left w:val="nil"/>
              <w:bottom w:val="single" w:sz="4" w:space="0" w:color="auto"/>
              <w:right w:val="single" w:sz="4" w:space="0" w:color="auto"/>
            </w:tcBorders>
            <w:shd w:val="clear" w:color="000000" w:fill="FFFFFF"/>
            <w:vAlign w:val="bottom"/>
            <w:hideMark/>
          </w:tcPr>
          <w:p w14:paraId="63E2A05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47514B35"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B40941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w:t>
            </w:r>
          </w:p>
        </w:tc>
        <w:tc>
          <w:tcPr>
            <w:tcW w:w="3129" w:type="dxa"/>
            <w:tcBorders>
              <w:top w:val="nil"/>
              <w:left w:val="nil"/>
              <w:bottom w:val="single" w:sz="4" w:space="0" w:color="auto"/>
              <w:right w:val="single" w:sz="4" w:space="0" w:color="auto"/>
            </w:tcBorders>
            <w:shd w:val="clear" w:color="000000" w:fill="FFFFFF"/>
            <w:vAlign w:val="bottom"/>
            <w:hideMark/>
          </w:tcPr>
          <w:p w14:paraId="577E9A3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trichlorooctowy</w:t>
            </w:r>
          </w:p>
        </w:tc>
        <w:tc>
          <w:tcPr>
            <w:tcW w:w="7264" w:type="dxa"/>
            <w:tcBorders>
              <w:top w:val="nil"/>
              <w:left w:val="nil"/>
              <w:bottom w:val="single" w:sz="4" w:space="0" w:color="auto"/>
              <w:right w:val="single" w:sz="4" w:space="0" w:color="auto"/>
            </w:tcBorders>
            <w:shd w:val="clear" w:color="000000" w:fill="FFFFFF"/>
            <w:vAlign w:val="bottom"/>
            <w:hideMark/>
          </w:tcPr>
          <w:p w14:paraId="2EEEF19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Numer CAS: 76-03-9, czystość: ≥99.0%</w:t>
            </w:r>
          </w:p>
        </w:tc>
        <w:tc>
          <w:tcPr>
            <w:tcW w:w="1584" w:type="dxa"/>
            <w:tcBorders>
              <w:top w:val="nil"/>
              <w:left w:val="nil"/>
              <w:bottom w:val="single" w:sz="4" w:space="0" w:color="auto"/>
              <w:right w:val="single" w:sz="4" w:space="0" w:color="auto"/>
            </w:tcBorders>
            <w:shd w:val="clear" w:color="000000" w:fill="FFFFFF"/>
            <w:vAlign w:val="bottom"/>
            <w:hideMark/>
          </w:tcPr>
          <w:p w14:paraId="1FB818B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7499B21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DFD51C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4BF150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23</w:t>
            </w:r>
          </w:p>
        </w:tc>
        <w:tc>
          <w:tcPr>
            <w:tcW w:w="3129" w:type="dxa"/>
            <w:tcBorders>
              <w:top w:val="nil"/>
              <w:left w:val="nil"/>
              <w:bottom w:val="single" w:sz="4" w:space="0" w:color="auto"/>
              <w:right w:val="single" w:sz="4" w:space="0" w:color="auto"/>
            </w:tcBorders>
            <w:shd w:val="clear" w:color="000000" w:fill="FFFFFF"/>
            <w:vAlign w:val="bottom"/>
            <w:hideMark/>
          </w:tcPr>
          <w:p w14:paraId="0196B98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Acetylofosforan litowo-potasowy</w:t>
            </w:r>
          </w:p>
        </w:tc>
        <w:tc>
          <w:tcPr>
            <w:tcW w:w="7264" w:type="dxa"/>
            <w:tcBorders>
              <w:top w:val="nil"/>
              <w:left w:val="nil"/>
              <w:bottom w:val="single" w:sz="4" w:space="0" w:color="auto"/>
              <w:right w:val="single" w:sz="4" w:space="0" w:color="auto"/>
            </w:tcBorders>
            <w:shd w:val="clear" w:color="000000" w:fill="FFFFFF"/>
            <w:vAlign w:val="bottom"/>
            <w:hideMark/>
          </w:tcPr>
          <w:p w14:paraId="0E5795C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Numer CAS: 94249-01-1</w:t>
            </w:r>
          </w:p>
        </w:tc>
        <w:tc>
          <w:tcPr>
            <w:tcW w:w="1584" w:type="dxa"/>
            <w:tcBorders>
              <w:top w:val="nil"/>
              <w:left w:val="nil"/>
              <w:bottom w:val="single" w:sz="4" w:space="0" w:color="auto"/>
              <w:right w:val="single" w:sz="4" w:space="0" w:color="auto"/>
            </w:tcBorders>
            <w:shd w:val="clear" w:color="000000" w:fill="FFFFFF"/>
            <w:vAlign w:val="bottom"/>
            <w:hideMark/>
          </w:tcPr>
          <w:p w14:paraId="5118EBA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MG</w:t>
            </w:r>
          </w:p>
        </w:tc>
        <w:tc>
          <w:tcPr>
            <w:tcW w:w="787" w:type="dxa"/>
            <w:tcBorders>
              <w:top w:val="nil"/>
              <w:left w:val="nil"/>
              <w:bottom w:val="single" w:sz="4" w:space="0" w:color="auto"/>
              <w:right w:val="single" w:sz="4" w:space="0" w:color="auto"/>
            </w:tcBorders>
            <w:shd w:val="clear" w:color="000000" w:fill="FFFFFF"/>
            <w:vAlign w:val="bottom"/>
            <w:hideMark/>
          </w:tcPr>
          <w:p w14:paraId="441613A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6B300F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A36094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24</w:t>
            </w:r>
          </w:p>
        </w:tc>
        <w:tc>
          <w:tcPr>
            <w:tcW w:w="3129" w:type="dxa"/>
            <w:tcBorders>
              <w:top w:val="nil"/>
              <w:left w:val="nil"/>
              <w:bottom w:val="nil"/>
              <w:right w:val="single" w:sz="4" w:space="0" w:color="auto"/>
            </w:tcBorders>
            <w:shd w:val="clear" w:color="000000" w:fill="FFFFFF"/>
            <w:vAlign w:val="bottom"/>
            <w:hideMark/>
          </w:tcPr>
          <w:p w14:paraId="260F543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Membrana nitroceluloza</w:t>
            </w:r>
          </w:p>
        </w:tc>
        <w:tc>
          <w:tcPr>
            <w:tcW w:w="7264" w:type="dxa"/>
            <w:tcBorders>
              <w:top w:val="nil"/>
              <w:left w:val="nil"/>
              <w:bottom w:val="nil"/>
              <w:right w:val="single" w:sz="4" w:space="0" w:color="auto"/>
            </w:tcBorders>
            <w:shd w:val="clear" w:color="000000" w:fill="FFFFFF"/>
            <w:vAlign w:val="bottom"/>
            <w:hideMark/>
          </w:tcPr>
          <w:p w14:paraId="351EB73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Membrany do blottingu, nitroceluloza, 0,2 µm, 300mm x 4 m </w:t>
            </w:r>
          </w:p>
        </w:tc>
        <w:tc>
          <w:tcPr>
            <w:tcW w:w="1584" w:type="dxa"/>
            <w:tcBorders>
              <w:top w:val="nil"/>
              <w:left w:val="nil"/>
              <w:bottom w:val="nil"/>
              <w:right w:val="single" w:sz="4" w:space="0" w:color="auto"/>
            </w:tcBorders>
            <w:shd w:val="clear" w:color="000000" w:fill="FFFFFF"/>
            <w:vAlign w:val="bottom"/>
            <w:hideMark/>
          </w:tcPr>
          <w:p w14:paraId="7668A9A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rolka</w:t>
            </w:r>
          </w:p>
        </w:tc>
        <w:tc>
          <w:tcPr>
            <w:tcW w:w="787" w:type="dxa"/>
            <w:tcBorders>
              <w:top w:val="nil"/>
              <w:left w:val="nil"/>
              <w:bottom w:val="nil"/>
              <w:right w:val="single" w:sz="4" w:space="0" w:color="auto"/>
            </w:tcBorders>
            <w:shd w:val="clear" w:color="000000" w:fill="FFFFFF"/>
            <w:vAlign w:val="bottom"/>
            <w:hideMark/>
          </w:tcPr>
          <w:p w14:paraId="284052B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B6E3BDF"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C39CC1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w:t>
            </w:r>
          </w:p>
        </w:tc>
        <w:tc>
          <w:tcPr>
            <w:tcW w:w="3129" w:type="dxa"/>
            <w:tcBorders>
              <w:top w:val="single" w:sz="4" w:space="0" w:color="auto"/>
              <w:left w:val="nil"/>
              <w:bottom w:val="single" w:sz="4" w:space="0" w:color="auto"/>
              <w:right w:val="single" w:sz="4" w:space="0" w:color="auto"/>
            </w:tcBorders>
            <w:shd w:val="clear" w:color="000000" w:fill="FFFFFF"/>
            <w:vAlign w:val="bottom"/>
            <w:hideMark/>
          </w:tcPr>
          <w:p w14:paraId="3056801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6-aminopenicilanowy</w:t>
            </w:r>
          </w:p>
        </w:tc>
        <w:tc>
          <w:tcPr>
            <w:tcW w:w="7264" w:type="dxa"/>
            <w:tcBorders>
              <w:top w:val="single" w:sz="4" w:space="0" w:color="auto"/>
              <w:left w:val="nil"/>
              <w:bottom w:val="single" w:sz="4" w:space="0" w:color="auto"/>
              <w:right w:val="single" w:sz="4" w:space="0" w:color="auto"/>
            </w:tcBorders>
            <w:shd w:val="clear" w:color="000000" w:fill="FFFFFF"/>
            <w:vAlign w:val="bottom"/>
            <w:hideMark/>
          </w:tcPr>
          <w:p w14:paraId="017BE87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Numer CAS: 551-16-6</w:t>
            </w:r>
          </w:p>
        </w:tc>
        <w:tc>
          <w:tcPr>
            <w:tcW w:w="1584" w:type="dxa"/>
            <w:tcBorders>
              <w:top w:val="single" w:sz="4" w:space="0" w:color="auto"/>
              <w:left w:val="nil"/>
              <w:bottom w:val="nil"/>
              <w:right w:val="single" w:sz="4" w:space="0" w:color="auto"/>
            </w:tcBorders>
            <w:shd w:val="clear" w:color="000000" w:fill="FFFFFF"/>
            <w:vAlign w:val="bottom"/>
            <w:hideMark/>
          </w:tcPr>
          <w:p w14:paraId="0992D4D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MG</w:t>
            </w:r>
          </w:p>
        </w:tc>
        <w:tc>
          <w:tcPr>
            <w:tcW w:w="787" w:type="dxa"/>
            <w:tcBorders>
              <w:top w:val="single" w:sz="4" w:space="0" w:color="auto"/>
              <w:left w:val="nil"/>
              <w:bottom w:val="nil"/>
              <w:right w:val="single" w:sz="4" w:space="0" w:color="auto"/>
            </w:tcBorders>
            <w:shd w:val="clear" w:color="000000" w:fill="FFFFFF"/>
            <w:vAlign w:val="bottom"/>
            <w:hideMark/>
          </w:tcPr>
          <w:p w14:paraId="60FCC06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E24B3F7" w14:textId="77777777" w:rsidTr="00CB32F5">
        <w:trPr>
          <w:trHeight w:val="300"/>
        </w:trPr>
        <w:tc>
          <w:tcPr>
            <w:tcW w:w="626" w:type="dxa"/>
            <w:tcBorders>
              <w:top w:val="nil"/>
              <w:left w:val="nil"/>
              <w:bottom w:val="nil"/>
              <w:right w:val="nil"/>
            </w:tcBorders>
            <w:shd w:val="clear" w:color="auto" w:fill="auto"/>
            <w:noWrap/>
            <w:vAlign w:val="bottom"/>
            <w:hideMark/>
          </w:tcPr>
          <w:p w14:paraId="7D7FE157"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p>
        </w:tc>
        <w:tc>
          <w:tcPr>
            <w:tcW w:w="3129" w:type="dxa"/>
            <w:tcBorders>
              <w:top w:val="nil"/>
              <w:left w:val="nil"/>
              <w:bottom w:val="nil"/>
              <w:right w:val="nil"/>
            </w:tcBorders>
            <w:shd w:val="clear" w:color="auto" w:fill="auto"/>
            <w:vAlign w:val="bottom"/>
            <w:hideMark/>
          </w:tcPr>
          <w:p w14:paraId="2DF4CA08"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22F75F76"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07160172"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72422224"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769FB652" w14:textId="77777777" w:rsidTr="00CB32F5">
        <w:trPr>
          <w:trHeight w:val="300"/>
        </w:trPr>
        <w:tc>
          <w:tcPr>
            <w:tcW w:w="626" w:type="dxa"/>
            <w:tcBorders>
              <w:top w:val="nil"/>
              <w:left w:val="nil"/>
              <w:bottom w:val="nil"/>
              <w:right w:val="nil"/>
            </w:tcBorders>
            <w:shd w:val="clear" w:color="auto" w:fill="auto"/>
            <w:noWrap/>
            <w:vAlign w:val="bottom"/>
            <w:hideMark/>
          </w:tcPr>
          <w:p w14:paraId="1118F25C"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c>
          <w:tcPr>
            <w:tcW w:w="3129" w:type="dxa"/>
            <w:tcBorders>
              <w:top w:val="nil"/>
              <w:left w:val="nil"/>
              <w:bottom w:val="nil"/>
              <w:right w:val="nil"/>
            </w:tcBorders>
            <w:shd w:val="clear" w:color="auto" w:fill="auto"/>
            <w:vAlign w:val="bottom"/>
            <w:hideMark/>
          </w:tcPr>
          <w:p w14:paraId="05166EFE"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48ACC942"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27B1D1A7"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6BC4C3FD"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11C0781D"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82259E7"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08DFE55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106DD5BC"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 xml:space="preserve">Opis cech artykułu lub rónorzędnego artykułu </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60AD3754"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70308DE5"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6D0D52B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1FCCB5F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0B6EB9BA"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 xml:space="preserve">Część 6:  Zestaw - podłoża mikrobiologiczne z dodatkowymi odczynnikami do oznaczeń biotechnologicznych </w:t>
            </w:r>
          </w:p>
        </w:tc>
        <w:tc>
          <w:tcPr>
            <w:tcW w:w="1584" w:type="dxa"/>
            <w:tcBorders>
              <w:top w:val="nil"/>
              <w:left w:val="nil"/>
              <w:bottom w:val="single" w:sz="4" w:space="0" w:color="auto"/>
              <w:right w:val="nil"/>
            </w:tcBorders>
            <w:shd w:val="clear" w:color="000000" w:fill="D9D9D9"/>
            <w:noWrap/>
            <w:vAlign w:val="bottom"/>
            <w:hideMark/>
          </w:tcPr>
          <w:p w14:paraId="31D7CF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3F52F85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7B716925"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32AB95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w:t>
            </w:r>
          </w:p>
        </w:tc>
        <w:tc>
          <w:tcPr>
            <w:tcW w:w="3129" w:type="dxa"/>
            <w:tcBorders>
              <w:top w:val="nil"/>
              <w:left w:val="nil"/>
              <w:bottom w:val="single" w:sz="4" w:space="0" w:color="auto"/>
              <w:right w:val="single" w:sz="4" w:space="0" w:color="auto"/>
            </w:tcBorders>
            <w:shd w:val="clear" w:color="000000" w:fill="FFFFFF"/>
            <w:vAlign w:val="bottom"/>
            <w:hideMark/>
          </w:tcPr>
          <w:p w14:paraId="0914A1C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RPMI 1640 z L-glutaminą</w:t>
            </w:r>
          </w:p>
        </w:tc>
        <w:tc>
          <w:tcPr>
            <w:tcW w:w="7264" w:type="dxa"/>
            <w:tcBorders>
              <w:top w:val="nil"/>
              <w:left w:val="nil"/>
              <w:bottom w:val="single" w:sz="4" w:space="0" w:color="auto"/>
              <w:right w:val="single" w:sz="4" w:space="0" w:color="auto"/>
            </w:tcBorders>
            <w:shd w:val="clear" w:color="000000" w:fill="FFFFFF"/>
            <w:vAlign w:val="bottom"/>
            <w:hideMark/>
          </w:tcPr>
          <w:p w14:paraId="778E6BE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do hodowli linii komórkowych</w:t>
            </w:r>
          </w:p>
        </w:tc>
        <w:tc>
          <w:tcPr>
            <w:tcW w:w="1584" w:type="dxa"/>
            <w:tcBorders>
              <w:top w:val="nil"/>
              <w:left w:val="nil"/>
              <w:bottom w:val="single" w:sz="4" w:space="0" w:color="auto"/>
              <w:right w:val="single" w:sz="4" w:space="0" w:color="auto"/>
            </w:tcBorders>
            <w:shd w:val="clear" w:color="000000" w:fill="FFFFFF"/>
            <w:vAlign w:val="bottom"/>
            <w:hideMark/>
          </w:tcPr>
          <w:p w14:paraId="2DCFB59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vAlign w:val="bottom"/>
            <w:hideMark/>
          </w:tcPr>
          <w:p w14:paraId="147584B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62285228" w14:textId="77777777" w:rsidTr="00CB32F5">
        <w:trPr>
          <w:trHeight w:val="16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8DBBCA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30E066F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Płodowa surowica bydlęca (FBS) inaktywowana temperaturą</w:t>
            </w:r>
          </w:p>
        </w:tc>
        <w:tc>
          <w:tcPr>
            <w:tcW w:w="7264" w:type="dxa"/>
            <w:tcBorders>
              <w:top w:val="nil"/>
              <w:left w:val="nil"/>
              <w:bottom w:val="single" w:sz="4" w:space="0" w:color="auto"/>
              <w:right w:val="single" w:sz="4" w:space="0" w:color="auto"/>
            </w:tcBorders>
            <w:shd w:val="clear" w:color="000000" w:fill="FFFFFF"/>
            <w:vAlign w:val="bottom"/>
            <w:hideMark/>
          </w:tcPr>
          <w:p w14:paraId="2BDC1DC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Sterylna filtrowana płodowa surowica bydlęca (FBS) pochodząca ze skrzepniętej pełnej krwi aseptycznie pobranej z płodu przez nakłucie serca. Każda wyprodukowana partia jest rygorystycznie kontrolowana, począwszy od pobrania surowicy, aż po końcowe pakowanie.</w:t>
            </w:r>
            <w:r w:rsidRPr="00CB32F5">
              <w:rPr>
                <w:rFonts w:ascii="Calibri" w:eastAsia="Times New Roman" w:hAnsi="Calibri" w:cs="Calibri"/>
                <w:color w:val="000000"/>
                <w:sz w:val="18"/>
                <w:szCs w:val="18"/>
                <w:lang w:eastAsia="pl-PL"/>
              </w:rPr>
              <w:br/>
              <w:t>Pochodzenie południowoamerykańskie, Wysokiej jakości serum, rygorystycznie testowane, Pełna identyfikowalność i bezpieczeństwo</w:t>
            </w:r>
          </w:p>
        </w:tc>
        <w:tc>
          <w:tcPr>
            <w:tcW w:w="1584" w:type="dxa"/>
            <w:tcBorders>
              <w:top w:val="nil"/>
              <w:left w:val="nil"/>
              <w:bottom w:val="single" w:sz="4" w:space="0" w:color="auto"/>
              <w:right w:val="single" w:sz="4" w:space="0" w:color="auto"/>
            </w:tcBorders>
            <w:shd w:val="clear" w:color="000000" w:fill="FFFFFF"/>
            <w:vAlign w:val="bottom"/>
            <w:hideMark/>
          </w:tcPr>
          <w:p w14:paraId="3670212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06B4D3A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5CB575F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FE4B3F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noWrap/>
            <w:vAlign w:val="bottom"/>
            <w:hideMark/>
          </w:tcPr>
          <w:p w14:paraId="43D969C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aminokwasy MEM 100X</w:t>
            </w:r>
          </w:p>
        </w:tc>
        <w:tc>
          <w:tcPr>
            <w:tcW w:w="7264" w:type="dxa"/>
            <w:tcBorders>
              <w:top w:val="nil"/>
              <w:left w:val="nil"/>
              <w:bottom w:val="single" w:sz="4" w:space="0" w:color="auto"/>
              <w:right w:val="single" w:sz="4" w:space="0" w:color="auto"/>
            </w:tcBorders>
            <w:shd w:val="clear" w:color="000000" w:fill="FFFFFF"/>
            <w:vAlign w:val="bottom"/>
            <w:hideMark/>
          </w:tcPr>
          <w:p w14:paraId="06BC60C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stężony roztwor aminokwasów, witamin lub aminokwasów niezbędnych do wzrostu komórek linii Hep-2, dodawany do pożywki podstawowej w celu jej wzbogacenia.</w:t>
            </w:r>
          </w:p>
        </w:tc>
        <w:tc>
          <w:tcPr>
            <w:tcW w:w="1584" w:type="dxa"/>
            <w:tcBorders>
              <w:top w:val="nil"/>
              <w:left w:val="nil"/>
              <w:bottom w:val="single" w:sz="4" w:space="0" w:color="auto"/>
              <w:right w:val="single" w:sz="4" w:space="0" w:color="auto"/>
            </w:tcBorders>
            <w:shd w:val="clear" w:color="000000" w:fill="FFFFFF"/>
            <w:noWrap/>
            <w:vAlign w:val="bottom"/>
            <w:hideMark/>
          </w:tcPr>
          <w:p w14:paraId="03D93F1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noWrap/>
            <w:vAlign w:val="bottom"/>
            <w:hideMark/>
          </w:tcPr>
          <w:p w14:paraId="4056CAF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456CA192"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7B77D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73B08D2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MEM z solami Eagle's z L-glutaminą</w:t>
            </w:r>
          </w:p>
        </w:tc>
        <w:tc>
          <w:tcPr>
            <w:tcW w:w="7264" w:type="dxa"/>
            <w:tcBorders>
              <w:top w:val="nil"/>
              <w:left w:val="nil"/>
              <w:bottom w:val="single" w:sz="4" w:space="0" w:color="auto"/>
              <w:right w:val="single" w:sz="4" w:space="0" w:color="auto"/>
            </w:tcBorders>
            <w:shd w:val="clear" w:color="000000" w:fill="FFFFFF"/>
            <w:vAlign w:val="bottom"/>
            <w:hideMark/>
          </w:tcPr>
          <w:p w14:paraId="5722FCA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Podłoże do hodowli linii komórkowych.</w:t>
            </w:r>
          </w:p>
        </w:tc>
        <w:tc>
          <w:tcPr>
            <w:tcW w:w="1584" w:type="dxa"/>
            <w:tcBorders>
              <w:top w:val="nil"/>
              <w:left w:val="nil"/>
              <w:bottom w:val="single" w:sz="4" w:space="0" w:color="auto"/>
              <w:right w:val="single" w:sz="4" w:space="0" w:color="auto"/>
            </w:tcBorders>
            <w:shd w:val="clear" w:color="000000" w:fill="FFFFFF"/>
            <w:vAlign w:val="bottom"/>
            <w:hideMark/>
          </w:tcPr>
          <w:p w14:paraId="7443B8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vAlign w:val="bottom"/>
            <w:hideMark/>
          </w:tcPr>
          <w:p w14:paraId="651A84F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6111865E" w14:textId="77777777" w:rsidTr="00CB32F5">
        <w:trPr>
          <w:trHeight w:val="267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37F38B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vAlign w:val="bottom"/>
            <w:hideMark/>
          </w:tcPr>
          <w:p w14:paraId="72AF22F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24-dołkowe płytki hodowlane z płaskim dnem, powierzchnia TC </w:t>
            </w:r>
          </w:p>
        </w:tc>
        <w:tc>
          <w:tcPr>
            <w:tcW w:w="7264" w:type="dxa"/>
            <w:tcBorders>
              <w:top w:val="nil"/>
              <w:left w:val="nil"/>
              <w:bottom w:val="single" w:sz="4" w:space="0" w:color="auto"/>
              <w:right w:val="single" w:sz="4" w:space="0" w:color="auto"/>
            </w:tcBorders>
            <w:shd w:val="clear" w:color="000000" w:fill="FFFFFF"/>
            <w:vAlign w:val="bottom"/>
            <w:hideMark/>
          </w:tcPr>
          <w:p w14:paraId="43DE166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24-dołkowe płytki hodowlane z płaskim dnem, poddane obróbce w celu zwiększenia przyczepności komórek. Jednolita objętość dołków zapewnia równą powierzchnię wzrostu. Powierzchnia dołków jest gładka w celu zmaksymalizowania powierzchni wzrostu. Podniesione obrzeża dołków z jednolitymi pierścieniami na pokrywie zmniejszą odparowanie. Pokrywa pasująca tylko w jednej pozycji zmniejsza ryzyko kontaminacji krzyżowej i błędów ludzkich. Dołki są oznaczone kodem w celu łatwej identyfikacji. Nadaje się do użycia ze wszystkimi popularnymi instrumentami pomiarowymi. Sterylizowane promieniowaniem gamma. Wolne od DNaz i RNaz, nie pirogeniczne, Przezroczyste  1,93 cm² , Certyfikaty: ISO13485 2003, ISO9001 2008</w:t>
            </w:r>
          </w:p>
        </w:tc>
        <w:tc>
          <w:tcPr>
            <w:tcW w:w="1584" w:type="dxa"/>
            <w:tcBorders>
              <w:top w:val="nil"/>
              <w:left w:val="nil"/>
              <w:bottom w:val="single" w:sz="4" w:space="0" w:color="auto"/>
              <w:right w:val="single" w:sz="4" w:space="0" w:color="auto"/>
            </w:tcBorders>
            <w:shd w:val="clear" w:color="000000" w:fill="FFFFFF"/>
            <w:vAlign w:val="bottom"/>
            <w:hideMark/>
          </w:tcPr>
          <w:p w14:paraId="3A0E6D2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vAlign w:val="bottom"/>
            <w:hideMark/>
          </w:tcPr>
          <w:p w14:paraId="567EFF3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C01CAD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85CB67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c>
          <w:tcPr>
            <w:tcW w:w="3129" w:type="dxa"/>
            <w:tcBorders>
              <w:top w:val="nil"/>
              <w:left w:val="nil"/>
              <w:bottom w:val="single" w:sz="4" w:space="0" w:color="auto"/>
              <w:right w:val="single" w:sz="4" w:space="0" w:color="auto"/>
            </w:tcBorders>
            <w:shd w:val="clear" w:color="000000" w:fill="FFFFFF"/>
            <w:vAlign w:val="bottom"/>
            <w:hideMark/>
          </w:tcPr>
          <w:p w14:paraId="17D1BA4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do kriokonserwacji, wolny od DMSO</w:t>
            </w:r>
          </w:p>
        </w:tc>
        <w:tc>
          <w:tcPr>
            <w:tcW w:w="7264" w:type="dxa"/>
            <w:tcBorders>
              <w:top w:val="nil"/>
              <w:left w:val="nil"/>
              <w:bottom w:val="single" w:sz="4" w:space="0" w:color="auto"/>
              <w:right w:val="single" w:sz="4" w:space="0" w:color="auto"/>
            </w:tcBorders>
            <w:shd w:val="clear" w:color="000000" w:fill="FFFFFF"/>
            <w:vAlign w:val="bottom"/>
            <w:hideMark/>
          </w:tcPr>
          <w:p w14:paraId="63E4A3D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Unikalny roztwór do kriokonserwacji, który nie zawiera DMSO, płodowej surowicy bydlęcej ani białka zwierzęcego. Roztwór gotowy do użycia, nie wymaga rozcieńczania ani dalszego przetwarzania.</w:t>
            </w:r>
          </w:p>
        </w:tc>
        <w:tc>
          <w:tcPr>
            <w:tcW w:w="1584" w:type="dxa"/>
            <w:tcBorders>
              <w:top w:val="nil"/>
              <w:left w:val="nil"/>
              <w:bottom w:val="single" w:sz="4" w:space="0" w:color="auto"/>
              <w:right w:val="single" w:sz="4" w:space="0" w:color="auto"/>
            </w:tcBorders>
            <w:shd w:val="clear" w:color="000000" w:fill="FFFFFF"/>
            <w:vAlign w:val="bottom"/>
            <w:hideMark/>
          </w:tcPr>
          <w:p w14:paraId="556E4BB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 ML</w:t>
            </w:r>
          </w:p>
        </w:tc>
        <w:tc>
          <w:tcPr>
            <w:tcW w:w="787" w:type="dxa"/>
            <w:tcBorders>
              <w:top w:val="nil"/>
              <w:left w:val="nil"/>
              <w:bottom w:val="single" w:sz="4" w:space="0" w:color="auto"/>
              <w:right w:val="single" w:sz="4" w:space="0" w:color="auto"/>
            </w:tcBorders>
            <w:shd w:val="clear" w:color="000000" w:fill="FFFFFF"/>
            <w:vAlign w:val="bottom"/>
            <w:hideMark/>
          </w:tcPr>
          <w:p w14:paraId="035B98C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C25C260"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BCF4FD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7B365AF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antybiotyków: penicylina/streptomycyna/amfoterycyna B, 100x</w:t>
            </w:r>
          </w:p>
        </w:tc>
        <w:tc>
          <w:tcPr>
            <w:tcW w:w="7264" w:type="dxa"/>
            <w:tcBorders>
              <w:top w:val="nil"/>
              <w:left w:val="nil"/>
              <w:bottom w:val="single" w:sz="4" w:space="0" w:color="auto"/>
              <w:right w:val="single" w:sz="4" w:space="0" w:color="auto"/>
            </w:tcBorders>
            <w:shd w:val="clear" w:color="000000" w:fill="FFFFFF"/>
            <w:vAlign w:val="bottom"/>
            <w:hideMark/>
          </w:tcPr>
          <w:p w14:paraId="6F4DC07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antybiotyków służąca do zabicia mikroorganizmów, takich jak bakterie Gram-ujemne, Gram-dodatnie, grzyby i drożdże w hodowlach tkankowych. Zawiera 10 000 jednostek penicyliny, 10 000 μg streptomycyny i 25 μg amfoterycyny B na ml.</w:t>
            </w:r>
          </w:p>
        </w:tc>
        <w:tc>
          <w:tcPr>
            <w:tcW w:w="1584" w:type="dxa"/>
            <w:tcBorders>
              <w:top w:val="nil"/>
              <w:left w:val="nil"/>
              <w:bottom w:val="single" w:sz="4" w:space="0" w:color="auto"/>
              <w:right w:val="single" w:sz="4" w:space="0" w:color="auto"/>
            </w:tcBorders>
            <w:shd w:val="clear" w:color="000000" w:fill="FFFFFF"/>
            <w:vAlign w:val="bottom"/>
            <w:hideMark/>
          </w:tcPr>
          <w:p w14:paraId="14DCF77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7C0F25B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0E783B8"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F9EDD6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0C9F998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Trypsyna, do hodowli tkankowych</w:t>
            </w:r>
          </w:p>
        </w:tc>
        <w:tc>
          <w:tcPr>
            <w:tcW w:w="7264" w:type="dxa"/>
            <w:tcBorders>
              <w:top w:val="nil"/>
              <w:left w:val="nil"/>
              <w:bottom w:val="single" w:sz="4" w:space="0" w:color="auto"/>
              <w:right w:val="single" w:sz="4" w:space="0" w:color="auto"/>
            </w:tcBorders>
            <w:shd w:val="clear" w:color="000000" w:fill="FFFFFF"/>
            <w:vAlign w:val="bottom"/>
            <w:hideMark/>
          </w:tcPr>
          <w:p w14:paraId="61D06D1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Trypsyna stosowana do enzymatycznego uwalniania przylegających komórek z płytek do hodowli tkankowych w celu pasażowania. Ten produkt zawiera trypsynę w stężeniu 0,25% i 2,21 mM EDTA.</w:t>
            </w:r>
          </w:p>
        </w:tc>
        <w:tc>
          <w:tcPr>
            <w:tcW w:w="1584" w:type="dxa"/>
            <w:tcBorders>
              <w:top w:val="nil"/>
              <w:left w:val="nil"/>
              <w:bottom w:val="single" w:sz="4" w:space="0" w:color="auto"/>
              <w:right w:val="single" w:sz="4" w:space="0" w:color="auto"/>
            </w:tcBorders>
            <w:shd w:val="clear" w:color="000000" w:fill="FFFFFF"/>
            <w:vAlign w:val="bottom"/>
            <w:hideMark/>
          </w:tcPr>
          <w:p w14:paraId="13F5B79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6x 100 ML</w:t>
            </w:r>
          </w:p>
        </w:tc>
        <w:tc>
          <w:tcPr>
            <w:tcW w:w="787" w:type="dxa"/>
            <w:tcBorders>
              <w:top w:val="nil"/>
              <w:left w:val="nil"/>
              <w:bottom w:val="single" w:sz="4" w:space="0" w:color="auto"/>
              <w:right w:val="single" w:sz="4" w:space="0" w:color="auto"/>
            </w:tcBorders>
            <w:shd w:val="clear" w:color="000000" w:fill="FFFFFF"/>
            <w:vAlign w:val="bottom"/>
            <w:hideMark/>
          </w:tcPr>
          <w:p w14:paraId="548FEF9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3C756DFE"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CB4FA1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9</w:t>
            </w:r>
          </w:p>
        </w:tc>
        <w:tc>
          <w:tcPr>
            <w:tcW w:w="3129" w:type="dxa"/>
            <w:tcBorders>
              <w:top w:val="nil"/>
              <w:left w:val="nil"/>
              <w:bottom w:val="single" w:sz="4" w:space="0" w:color="auto"/>
              <w:right w:val="single" w:sz="4" w:space="0" w:color="auto"/>
            </w:tcBorders>
            <w:shd w:val="clear" w:color="000000" w:fill="FFFFFF"/>
            <w:vAlign w:val="bottom"/>
            <w:hideMark/>
          </w:tcPr>
          <w:p w14:paraId="05EB32C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Bufor, tabletki PBS, Klasa biotechnologiczna</w:t>
            </w:r>
          </w:p>
        </w:tc>
        <w:tc>
          <w:tcPr>
            <w:tcW w:w="7264" w:type="dxa"/>
            <w:tcBorders>
              <w:top w:val="nil"/>
              <w:left w:val="nil"/>
              <w:bottom w:val="single" w:sz="4" w:space="0" w:color="auto"/>
              <w:right w:val="single" w:sz="4" w:space="0" w:color="auto"/>
            </w:tcBorders>
            <w:shd w:val="clear" w:color="000000" w:fill="FFFFFF"/>
            <w:vAlign w:val="bottom"/>
            <w:hideMark/>
          </w:tcPr>
          <w:p w14:paraId="2B08B24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Tabletki do wygodnego przygotowania roztworu 1X PBS, pH 7,3 do 7,5. W razie potrzeby mogą być sterylizowane przez filtrację lub autoklaw. Nie zawierają wapnia ani magnezu. Każda tabletka po rozpuszczeniu w 100 ml wody, przygotowuje roztwór 1X PBS zawierający 137 mM chlorek sodu, 2,7 mM chlorek potasu i 10 mM bufor fosforanowy.</w:t>
            </w:r>
          </w:p>
        </w:tc>
        <w:tc>
          <w:tcPr>
            <w:tcW w:w="1584" w:type="dxa"/>
            <w:tcBorders>
              <w:top w:val="nil"/>
              <w:left w:val="nil"/>
              <w:bottom w:val="single" w:sz="4" w:space="0" w:color="auto"/>
              <w:right w:val="single" w:sz="4" w:space="0" w:color="auto"/>
            </w:tcBorders>
            <w:shd w:val="clear" w:color="000000" w:fill="FFFFFF"/>
            <w:vAlign w:val="bottom"/>
            <w:hideMark/>
          </w:tcPr>
          <w:p w14:paraId="07ABEC1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200 tabletek</w:t>
            </w:r>
          </w:p>
        </w:tc>
        <w:tc>
          <w:tcPr>
            <w:tcW w:w="787" w:type="dxa"/>
            <w:tcBorders>
              <w:top w:val="nil"/>
              <w:left w:val="nil"/>
              <w:bottom w:val="single" w:sz="4" w:space="0" w:color="auto"/>
              <w:right w:val="single" w:sz="4" w:space="0" w:color="auto"/>
            </w:tcBorders>
            <w:shd w:val="clear" w:color="000000" w:fill="FFFFFF"/>
            <w:vAlign w:val="bottom"/>
            <w:hideMark/>
          </w:tcPr>
          <w:p w14:paraId="698C0A5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134EAA4"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009809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c>
          <w:tcPr>
            <w:tcW w:w="3129" w:type="dxa"/>
            <w:tcBorders>
              <w:top w:val="nil"/>
              <w:left w:val="nil"/>
              <w:bottom w:val="single" w:sz="4" w:space="0" w:color="auto"/>
              <w:right w:val="single" w:sz="4" w:space="0" w:color="auto"/>
            </w:tcBorders>
            <w:shd w:val="clear" w:color="000000" w:fill="FFFFFF"/>
            <w:vAlign w:val="bottom"/>
            <w:hideMark/>
          </w:tcPr>
          <w:p w14:paraId="0796059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arkusze do blottingu </w:t>
            </w:r>
          </w:p>
        </w:tc>
        <w:tc>
          <w:tcPr>
            <w:tcW w:w="7264" w:type="dxa"/>
            <w:tcBorders>
              <w:top w:val="nil"/>
              <w:left w:val="nil"/>
              <w:bottom w:val="single" w:sz="4" w:space="0" w:color="auto"/>
              <w:right w:val="single" w:sz="4" w:space="0" w:color="auto"/>
            </w:tcBorders>
            <w:shd w:val="clear" w:color="000000" w:fill="FFFFFF"/>
            <w:vAlign w:val="bottom"/>
            <w:hideMark/>
          </w:tcPr>
          <w:p w14:paraId="2161D75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Arkusze z czystej celulozy zapewniające przesiąkanie i równomierne działanie kapilarne dla uzyskania czystych i równomiernych transferów podczas blottingu. Grube arkusze (1,5 mm), bardzo chłonny papier, polecany do półsuchego blottingu białek, rozmiar: 580×580 mm </w:t>
            </w:r>
          </w:p>
        </w:tc>
        <w:tc>
          <w:tcPr>
            <w:tcW w:w="1584" w:type="dxa"/>
            <w:tcBorders>
              <w:top w:val="nil"/>
              <w:left w:val="nil"/>
              <w:bottom w:val="single" w:sz="4" w:space="0" w:color="auto"/>
              <w:right w:val="single" w:sz="4" w:space="0" w:color="auto"/>
            </w:tcBorders>
            <w:shd w:val="clear" w:color="000000" w:fill="FFFFFF"/>
            <w:vAlign w:val="bottom"/>
            <w:hideMark/>
          </w:tcPr>
          <w:p w14:paraId="418FD9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szt.</w:t>
            </w:r>
          </w:p>
        </w:tc>
        <w:tc>
          <w:tcPr>
            <w:tcW w:w="787" w:type="dxa"/>
            <w:tcBorders>
              <w:top w:val="nil"/>
              <w:left w:val="nil"/>
              <w:bottom w:val="single" w:sz="4" w:space="0" w:color="auto"/>
              <w:right w:val="single" w:sz="4" w:space="0" w:color="auto"/>
            </w:tcBorders>
            <w:shd w:val="clear" w:color="000000" w:fill="FFFFFF"/>
            <w:vAlign w:val="bottom"/>
            <w:hideMark/>
          </w:tcPr>
          <w:p w14:paraId="46A84A3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257F7E2E" w14:textId="77777777" w:rsidTr="00CB32F5">
        <w:trPr>
          <w:trHeight w:val="21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61A5F4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5CC7295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Odczynnik do izolacji RNA </w:t>
            </w:r>
          </w:p>
        </w:tc>
        <w:tc>
          <w:tcPr>
            <w:tcW w:w="7264" w:type="dxa"/>
            <w:tcBorders>
              <w:top w:val="nil"/>
              <w:left w:val="nil"/>
              <w:bottom w:val="single" w:sz="4" w:space="0" w:color="auto"/>
              <w:right w:val="single" w:sz="4" w:space="0" w:color="auto"/>
            </w:tcBorders>
            <w:shd w:val="clear" w:color="000000" w:fill="FFFFFF"/>
            <w:vAlign w:val="bottom"/>
            <w:hideMark/>
          </w:tcPr>
          <w:p w14:paraId="5F8A186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do izolacji RNA, którego mechanizm działania opiera się na jednoetapowej jednoczesnej izolacji RNA, DNA i białek z próbek komórek i tkanek. RNA jest selektywnie zatrzymywany w fazie wodnej podczas kwaśnej ekstrakcji GuSCN/fenol; DNA i białka izoluje się z fazy organicznej odpowiednio przez wytrącanie etanolem i izopropanolem.</w:t>
            </w:r>
            <w:r w:rsidRPr="00CB32F5">
              <w:rPr>
                <w:rFonts w:ascii="Calibri" w:eastAsia="Times New Roman" w:hAnsi="Calibri" w:cs="Calibri"/>
                <w:color w:val="000000"/>
                <w:sz w:val="18"/>
                <w:szCs w:val="18"/>
                <w:lang w:eastAsia="pl-PL"/>
              </w:rPr>
              <w:br/>
              <w:t>Nadaje się do próbek (tkanek i komórek) pochodzenia ludzkiego, zwierzęcego, roślinnego i bakteryjnego. Izolacja dużych i małych rodzajów RNA (0,1 - 15 kb) o wysokiej czystości.</w:t>
            </w:r>
          </w:p>
        </w:tc>
        <w:tc>
          <w:tcPr>
            <w:tcW w:w="1584" w:type="dxa"/>
            <w:tcBorders>
              <w:top w:val="nil"/>
              <w:left w:val="nil"/>
              <w:bottom w:val="single" w:sz="4" w:space="0" w:color="auto"/>
              <w:right w:val="single" w:sz="4" w:space="0" w:color="auto"/>
            </w:tcBorders>
            <w:shd w:val="clear" w:color="000000" w:fill="FFFFFF"/>
            <w:vAlign w:val="bottom"/>
            <w:hideMark/>
          </w:tcPr>
          <w:p w14:paraId="4FD6A51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788871B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2398D067" w14:textId="77777777" w:rsidTr="00CB32F5">
        <w:trPr>
          <w:trHeight w:val="222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718789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c>
          <w:tcPr>
            <w:tcW w:w="3129" w:type="dxa"/>
            <w:tcBorders>
              <w:top w:val="nil"/>
              <w:left w:val="nil"/>
              <w:bottom w:val="single" w:sz="4" w:space="0" w:color="auto"/>
              <w:right w:val="single" w:sz="4" w:space="0" w:color="auto"/>
            </w:tcBorders>
            <w:shd w:val="clear" w:color="000000" w:fill="FFFFFF"/>
            <w:vAlign w:val="bottom"/>
            <w:hideMark/>
          </w:tcPr>
          <w:p w14:paraId="70D5FB9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eter dietylowy kwasu pirowęglowego (DEPC)</w:t>
            </w:r>
          </w:p>
        </w:tc>
        <w:tc>
          <w:tcPr>
            <w:tcW w:w="7264" w:type="dxa"/>
            <w:tcBorders>
              <w:top w:val="nil"/>
              <w:left w:val="nil"/>
              <w:bottom w:val="single" w:sz="4" w:space="0" w:color="auto"/>
              <w:right w:val="single" w:sz="4" w:space="0" w:color="auto"/>
            </w:tcBorders>
            <w:shd w:val="clear" w:color="000000" w:fill="FFFFFF"/>
            <w:vAlign w:val="bottom"/>
            <w:hideMark/>
          </w:tcPr>
          <w:p w14:paraId="5C218A1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stosowanym do inaktywacji nukleaz np. Rnazy, Numer CAS: 1609-47-8</w:t>
            </w:r>
          </w:p>
        </w:tc>
        <w:tc>
          <w:tcPr>
            <w:tcW w:w="1584" w:type="dxa"/>
            <w:tcBorders>
              <w:top w:val="nil"/>
              <w:left w:val="nil"/>
              <w:bottom w:val="single" w:sz="4" w:space="0" w:color="auto"/>
              <w:right w:val="single" w:sz="4" w:space="0" w:color="auto"/>
            </w:tcBorders>
            <w:shd w:val="clear" w:color="000000" w:fill="FFFFFF"/>
            <w:vAlign w:val="bottom"/>
            <w:hideMark/>
          </w:tcPr>
          <w:p w14:paraId="0DBAD9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ML</w:t>
            </w:r>
          </w:p>
        </w:tc>
        <w:tc>
          <w:tcPr>
            <w:tcW w:w="787" w:type="dxa"/>
            <w:tcBorders>
              <w:top w:val="nil"/>
              <w:left w:val="nil"/>
              <w:bottom w:val="single" w:sz="4" w:space="0" w:color="auto"/>
              <w:right w:val="single" w:sz="4" w:space="0" w:color="auto"/>
            </w:tcBorders>
            <w:shd w:val="clear" w:color="000000" w:fill="FFFFFF"/>
            <w:vAlign w:val="bottom"/>
            <w:hideMark/>
          </w:tcPr>
          <w:p w14:paraId="544985A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57FB5C3"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87FC18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13</w:t>
            </w:r>
          </w:p>
        </w:tc>
        <w:tc>
          <w:tcPr>
            <w:tcW w:w="3129" w:type="dxa"/>
            <w:tcBorders>
              <w:top w:val="nil"/>
              <w:left w:val="nil"/>
              <w:bottom w:val="single" w:sz="4" w:space="0" w:color="auto"/>
              <w:right w:val="single" w:sz="4" w:space="0" w:color="auto"/>
            </w:tcBorders>
            <w:shd w:val="clear" w:color="000000" w:fill="FFFFFF"/>
            <w:vAlign w:val="bottom"/>
            <w:hideMark/>
          </w:tcPr>
          <w:p w14:paraId="182F53A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Formamid </w:t>
            </w:r>
          </w:p>
        </w:tc>
        <w:tc>
          <w:tcPr>
            <w:tcW w:w="7264" w:type="dxa"/>
            <w:tcBorders>
              <w:top w:val="nil"/>
              <w:left w:val="nil"/>
              <w:bottom w:val="single" w:sz="4" w:space="0" w:color="auto"/>
              <w:right w:val="single" w:sz="4" w:space="0" w:color="auto"/>
            </w:tcBorders>
            <w:shd w:val="clear" w:color="000000" w:fill="FFFFFF"/>
            <w:vAlign w:val="bottom"/>
            <w:hideMark/>
          </w:tcPr>
          <w:p w14:paraId="6AA8BC5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Odczynniki biochemiczne i do biologii molekularnej, ≥99.5%, Ultraczysty, Numer CAS: 75-12-7</w:t>
            </w:r>
          </w:p>
        </w:tc>
        <w:tc>
          <w:tcPr>
            <w:tcW w:w="1584" w:type="dxa"/>
            <w:tcBorders>
              <w:top w:val="nil"/>
              <w:left w:val="nil"/>
              <w:bottom w:val="single" w:sz="4" w:space="0" w:color="auto"/>
              <w:right w:val="single" w:sz="4" w:space="0" w:color="auto"/>
            </w:tcBorders>
            <w:shd w:val="clear" w:color="000000" w:fill="FFFFFF"/>
            <w:vAlign w:val="bottom"/>
            <w:hideMark/>
          </w:tcPr>
          <w:p w14:paraId="664EB99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75338B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F6E513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F6CEEC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14</w:t>
            </w:r>
          </w:p>
        </w:tc>
        <w:tc>
          <w:tcPr>
            <w:tcW w:w="3129" w:type="dxa"/>
            <w:tcBorders>
              <w:top w:val="nil"/>
              <w:left w:val="nil"/>
              <w:bottom w:val="single" w:sz="4" w:space="0" w:color="auto"/>
              <w:right w:val="single" w:sz="4" w:space="0" w:color="auto"/>
            </w:tcBorders>
            <w:shd w:val="clear" w:color="000000" w:fill="FFFFFF"/>
            <w:vAlign w:val="bottom"/>
            <w:hideMark/>
          </w:tcPr>
          <w:p w14:paraId="31121D1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Cytrynian trisodu dihydrat</w:t>
            </w:r>
          </w:p>
        </w:tc>
        <w:tc>
          <w:tcPr>
            <w:tcW w:w="7264" w:type="dxa"/>
            <w:tcBorders>
              <w:top w:val="nil"/>
              <w:left w:val="nil"/>
              <w:bottom w:val="single" w:sz="4" w:space="0" w:color="auto"/>
              <w:right w:val="single" w:sz="4" w:space="0" w:color="auto"/>
            </w:tcBorders>
            <w:shd w:val="clear" w:color="000000" w:fill="FFFFFF"/>
            <w:vAlign w:val="bottom"/>
            <w:hideMark/>
          </w:tcPr>
          <w:p w14:paraId="1EF1F2E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Odczynniki biochemiczne i do biologii molekularnej, czystość:  ≥99%, Numer CAS: 6132-04-3</w:t>
            </w:r>
          </w:p>
        </w:tc>
        <w:tc>
          <w:tcPr>
            <w:tcW w:w="1584" w:type="dxa"/>
            <w:tcBorders>
              <w:top w:val="nil"/>
              <w:left w:val="nil"/>
              <w:bottom w:val="single" w:sz="4" w:space="0" w:color="auto"/>
              <w:right w:val="single" w:sz="4" w:space="0" w:color="auto"/>
            </w:tcBorders>
            <w:shd w:val="clear" w:color="000000" w:fill="FFFFFF"/>
            <w:vAlign w:val="bottom"/>
            <w:hideMark/>
          </w:tcPr>
          <w:p w14:paraId="4300B76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0D88AD5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4FBF26D" w14:textId="77777777" w:rsidTr="00CB32F5">
        <w:trPr>
          <w:trHeight w:val="100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62ECC2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5C5AC2D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z barwnikiem EvaGreen do qPCR </w:t>
            </w:r>
          </w:p>
        </w:tc>
        <w:tc>
          <w:tcPr>
            <w:tcW w:w="7264" w:type="dxa"/>
            <w:tcBorders>
              <w:top w:val="nil"/>
              <w:left w:val="nil"/>
              <w:bottom w:val="single" w:sz="4" w:space="0" w:color="auto"/>
              <w:right w:val="single" w:sz="4" w:space="0" w:color="auto"/>
            </w:tcBorders>
            <w:shd w:val="clear" w:color="000000" w:fill="FFFFFF"/>
            <w:vAlign w:val="bottom"/>
            <w:hideMark/>
          </w:tcPr>
          <w:p w14:paraId="20F1A7A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Wysokowydajny miks do qPCR z barwnikiem EvaGreen, HotStart Taq Polymerazą, dNTP oraz obojętnym niebieskim barwnikiem o niskim stężeniu, co pozwala użytkownikowi łatwo odróżnić dołki zawierające mieszaninę reakcyjną od dołków pustych, Gotowy do użycia, wystarczy dodać startery i matrycę DNA (bez ROX).</w:t>
            </w:r>
          </w:p>
        </w:tc>
        <w:tc>
          <w:tcPr>
            <w:tcW w:w="1584" w:type="dxa"/>
            <w:tcBorders>
              <w:top w:val="nil"/>
              <w:left w:val="nil"/>
              <w:bottom w:val="single" w:sz="4" w:space="0" w:color="auto"/>
              <w:right w:val="single" w:sz="4" w:space="0" w:color="auto"/>
            </w:tcBorders>
            <w:shd w:val="clear" w:color="000000" w:fill="FFFFFF"/>
            <w:vAlign w:val="bottom"/>
            <w:hideMark/>
          </w:tcPr>
          <w:p w14:paraId="71BA24B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500 reakcji</w:t>
            </w:r>
          </w:p>
        </w:tc>
        <w:tc>
          <w:tcPr>
            <w:tcW w:w="787" w:type="dxa"/>
            <w:tcBorders>
              <w:top w:val="nil"/>
              <w:left w:val="nil"/>
              <w:bottom w:val="single" w:sz="4" w:space="0" w:color="auto"/>
              <w:right w:val="single" w:sz="4" w:space="0" w:color="auto"/>
            </w:tcBorders>
            <w:shd w:val="clear" w:color="000000" w:fill="FFFFFF"/>
            <w:vAlign w:val="bottom"/>
            <w:hideMark/>
          </w:tcPr>
          <w:p w14:paraId="0D20236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5C1BF21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09013A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16</w:t>
            </w:r>
          </w:p>
        </w:tc>
        <w:tc>
          <w:tcPr>
            <w:tcW w:w="3129" w:type="dxa"/>
            <w:tcBorders>
              <w:top w:val="nil"/>
              <w:left w:val="nil"/>
              <w:bottom w:val="single" w:sz="4" w:space="0" w:color="auto"/>
              <w:right w:val="single" w:sz="4" w:space="0" w:color="auto"/>
            </w:tcBorders>
            <w:shd w:val="clear" w:color="000000" w:fill="FFFFFF"/>
            <w:vAlign w:val="bottom"/>
            <w:hideMark/>
          </w:tcPr>
          <w:p w14:paraId="624F595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fluorek fenylometylosulfonowy  (PMSF)</w:t>
            </w:r>
          </w:p>
        </w:tc>
        <w:tc>
          <w:tcPr>
            <w:tcW w:w="7264" w:type="dxa"/>
            <w:tcBorders>
              <w:top w:val="nil"/>
              <w:left w:val="nil"/>
              <w:bottom w:val="single" w:sz="4" w:space="0" w:color="auto"/>
              <w:right w:val="single" w:sz="4" w:space="0" w:color="auto"/>
            </w:tcBorders>
            <w:shd w:val="clear" w:color="000000" w:fill="FFFFFF"/>
            <w:vAlign w:val="bottom"/>
            <w:hideMark/>
          </w:tcPr>
          <w:p w14:paraId="19225C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Inhibitor proteaz serynowych, Numer CAS: 329-98-6</w:t>
            </w:r>
          </w:p>
        </w:tc>
        <w:tc>
          <w:tcPr>
            <w:tcW w:w="1584" w:type="dxa"/>
            <w:tcBorders>
              <w:top w:val="nil"/>
              <w:left w:val="nil"/>
              <w:bottom w:val="single" w:sz="4" w:space="0" w:color="auto"/>
              <w:right w:val="single" w:sz="4" w:space="0" w:color="auto"/>
            </w:tcBorders>
            <w:shd w:val="clear" w:color="000000" w:fill="FFFFFF"/>
            <w:vAlign w:val="bottom"/>
            <w:hideMark/>
          </w:tcPr>
          <w:p w14:paraId="563BFB0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G</w:t>
            </w:r>
          </w:p>
        </w:tc>
        <w:tc>
          <w:tcPr>
            <w:tcW w:w="787" w:type="dxa"/>
            <w:tcBorders>
              <w:top w:val="nil"/>
              <w:left w:val="nil"/>
              <w:bottom w:val="single" w:sz="4" w:space="0" w:color="auto"/>
              <w:right w:val="single" w:sz="4" w:space="0" w:color="auto"/>
            </w:tcBorders>
            <w:shd w:val="clear" w:color="000000" w:fill="FFFFFF"/>
            <w:vAlign w:val="bottom"/>
            <w:hideMark/>
          </w:tcPr>
          <w:p w14:paraId="561AC59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9B1E79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7238FA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17</w:t>
            </w:r>
          </w:p>
        </w:tc>
        <w:tc>
          <w:tcPr>
            <w:tcW w:w="3129" w:type="dxa"/>
            <w:tcBorders>
              <w:top w:val="nil"/>
              <w:left w:val="nil"/>
              <w:bottom w:val="single" w:sz="4" w:space="0" w:color="auto"/>
              <w:right w:val="single" w:sz="4" w:space="0" w:color="auto"/>
            </w:tcBorders>
            <w:shd w:val="clear" w:color="000000" w:fill="FFFFFF"/>
            <w:vAlign w:val="bottom"/>
            <w:hideMark/>
          </w:tcPr>
          <w:p w14:paraId="6A4B13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izopropylo-β-D-tiogalaktozyd (IPTG)</w:t>
            </w:r>
          </w:p>
        </w:tc>
        <w:tc>
          <w:tcPr>
            <w:tcW w:w="7264" w:type="dxa"/>
            <w:tcBorders>
              <w:top w:val="nil"/>
              <w:left w:val="nil"/>
              <w:bottom w:val="single" w:sz="4" w:space="0" w:color="auto"/>
              <w:right w:val="single" w:sz="4" w:space="0" w:color="auto"/>
            </w:tcBorders>
            <w:shd w:val="clear" w:color="000000" w:fill="FFFFFF"/>
            <w:vAlign w:val="bottom"/>
            <w:hideMark/>
          </w:tcPr>
          <w:p w14:paraId="5D34E59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Chemiczny analog galaktozy, który nie może być hydrolizowany przez enzym beta-galaktozydaza. Do selekcji kolonii białe/niebieskie w alfa-komplementacji,  czystość; ≥98%, Numer CAS: 367-93-1 </w:t>
            </w:r>
          </w:p>
        </w:tc>
        <w:tc>
          <w:tcPr>
            <w:tcW w:w="1584" w:type="dxa"/>
            <w:tcBorders>
              <w:top w:val="nil"/>
              <w:left w:val="nil"/>
              <w:bottom w:val="single" w:sz="4" w:space="0" w:color="auto"/>
              <w:right w:val="single" w:sz="4" w:space="0" w:color="auto"/>
            </w:tcBorders>
            <w:shd w:val="clear" w:color="000000" w:fill="FFFFFF"/>
            <w:vAlign w:val="bottom"/>
            <w:hideMark/>
          </w:tcPr>
          <w:p w14:paraId="51586CA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vAlign w:val="bottom"/>
            <w:hideMark/>
          </w:tcPr>
          <w:p w14:paraId="484E2A1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08DAE8D"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90E2B8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18</w:t>
            </w:r>
          </w:p>
        </w:tc>
        <w:tc>
          <w:tcPr>
            <w:tcW w:w="3129" w:type="dxa"/>
            <w:tcBorders>
              <w:top w:val="nil"/>
              <w:left w:val="nil"/>
              <w:bottom w:val="single" w:sz="4" w:space="0" w:color="auto"/>
              <w:right w:val="single" w:sz="4" w:space="0" w:color="auto"/>
            </w:tcBorders>
            <w:shd w:val="clear" w:color="000000" w:fill="FFFFFF"/>
            <w:vAlign w:val="bottom"/>
            <w:hideMark/>
          </w:tcPr>
          <w:p w14:paraId="6FA993C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5-bromo-4-chloro-3-indolyl β-D-galaktopiranozyd (X-Gal)</w:t>
            </w:r>
          </w:p>
        </w:tc>
        <w:tc>
          <w:tcPr>
            <w:tcW w:w="7264" w:type="dxa"/>
            <w:tcBorders>
              <w:top w:val="nil"/>
              <w:left w:val="nil"/>
              <w:bottom w:val="single" w:sz="4" w:space="0" w:color="auto"/>
              <w:right w:val="single" w:sz="4" w:space="0" w:color="auto"/>
            </w:tcBorders>
            <w:shd w:val="clear" w:color="000000" w:fill="FFFFFF"/>
            <w:vAlign w:val="bottom"/>
            <w:hideMark/>
          </w:tcPr>
          <w:p w14:paraId="5796B45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Chromogenny substrat dla beta-galaktozydazy. Stosowany w połączeniu z IPTG do wykrywania aktywności beta-galaktozydazy w koloniach bakteryjnych w teście kolorymetrycznym,  czystość: ≥98%, Numer CAS: 7240-90-6</w:t>
            </w:r>
          </w:p>
        </w:tc>
        <w:tc>
          <w:tcPr>
            <w:tcW w:w="1584" w:type="dxa"/>
            <w:tcBorders>
              <w:top w:val="nil"/>
              <w:left w:val="nil"/>
              <w:bottom w:val="single" w:sz="4" w:space="0" w:color="auto"/>
              <w:right w:val="single" w:sz="4" w:space="0" w:color="auto"/>
            </w:tcBorders>
            <w:shd w:val="clear" w:color="000000" w:fill="FFFFFF"/>
            <w:vAlign w:val="bottom"/>
            <w:hideMark/>
          </w:tcPr>
          <w:p w14:paraId="4B9194C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vAlign w:val="bottom"/>
            <w:hideMark/>
          </w:tcPr>
          <w:p w14:paraId="2B052CA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C6D3180"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66E021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19</w:t>
            </w:r>
          </w:p>
        </w:tc>
        <w:tc>
          <w:tcPr>
            <w:tcW w:w="3129" w:type="dxa"/>
            <w:tcBorders>
              <w:top w:val="nil"/>
              <w:left w:val="nil"/>
              <w:bottom w:val="single" w:sz="4" w:space="0" w:color="auto"/>
              <w:right w:val="single" w:sz="4" w:space="0" w:color="auto"/>
            </w:tcBorders>
            <w:shd w:val="clear" w:color="000000" w:fill="FFFFFF"/>
            <w:vAlign w:val="bottom"/>
            <w:hideMark/>
          </w:tcPr>
          <w:p w14:paraId="5552B59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2-merkaptoetanol </w:t>
            </w:r>
          </w:p>
        </w:tc>
        <w:tc>
          <w:tcPr>
            <w:tcW w:w="7264" w:type="dxa"/>
            <w:tcBorders>
              <w:top w:val="nil"/>
              <w:left w:val="nil"/>
              <w:bottom w:val="single" w:sz="4" w:space="0" w:color="auto"/>
              <w:right w:val="single" w:sz="4" w:space="0" w:color="auto"/>
            </w:tcBorders>
            <w:shd w:val="clear" w:color="000000" w:fill="FFFFFF"/>
            <w:vAlign w:val="bottom"/>
            <w:hideMark/>
          </w:tcPr>
          <w:p w14:paraId="610C947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 analiz białek, czystość: ≥99%, Numer CAS: 60-24-2</w:t>
            </w:r>
          </w:p>
        </w:tc>
        <w:tc>
          <w:tcPr>
            <w:tcW w:w="1584" w:type="dxa"/>
            <w:tcBorders>
              <w:top w:val="nil"/>
              <w:left w:val="nil"/>
              <w:bottom w:val="single" w:sz="4" w:space="0" w:color="auto"/>
              <w:right w:val="single" w:sz="4" w:space="0" w:color="auto"/>
            </w:tcBorders>
            <w:shd w:val="clear" w:color="000000" w:fill="FFFFFF"/>
            <w:vAlign w:val="bottom"/>
            <w:hideMark/>
          </w:tcPr>
          <w:p w14:paraId="3AA80DF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5C2D99A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F13CF5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10E96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c>
          <w:tcPr>
            <w:tcW w:w="3129" w:type="dxa"/>
            <w:tcBorders>
              <w:top w:val="nil"/>
              <w:left w:val="nil"/>
              <w:bottom w:val="single" w:sz="4" w:space="0" w:color="auto"/>
              <w:right w:val="single" w:sz="4" w:space="0" w:color="auto"/>
            </w:tcBorders>
            <w:shd w:val="clear" w:color="000000" w:fill="FFFFFF"/>
            <w:vAlign w:val="bottom"/>
            <w:hideMark/>
          </w:tcPr>
          <w:p w14:paraId="77D7999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imidazol </w:t>
            </w:r>
          </w:p>
        </w:tc>
        <w:tc>
          <w:tcPr>
            <w:tcW w:w="7264" w:type="dxa"/>
            <w:tcBorders>
              <w:top w:val="nil"/>
              <w:left w:val="nil"/>
              <w:bottom w:val="single" w:sz="4" w:space="0" w:color="auto"/>
              <w:right w:val="single" w:sz="4" w:space="0" w:color="auto"/>
            </w:tcBorders>
            <w:shd w:val="clear" w:color="000000" w:fill="FFFFFF"/>
            <w:vAlign w:val="bottom"/>
            <w:hideMark/>
          </w:tcPr>
          <w:p w14:paraId="252D23E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 analizy białek, czystość: ≥99%, Numer CAS: 288-32-4</w:t>
            </w:r>
          </w:p>
        </w:tc>
        <w:tc>
          <w:tcPr>
            <w:tcW w:w="1584" w:type="dxa"/>
            <w:tcBorders>
              <w:top w:val="nil"/>
              <w:left w:val="nil"/>
              <w:bottom w:val="single" w:sz="4" w:space="0" w:color="auto"/>
              <w:right w:val="single" w:sz="4" w:space="0" w:color="auto"/>
            </w:tcBorders>
            <w:shd w:val="clear" w:color="000000" w:fill="FFFFFF"/>
            <w:vAlign w:val="bottom"/>
            <w:hideMark/>
          </w:tcPr>
          <w:p w14:paraId="4FC654B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06ACD27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938B4BF"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607075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21</w:t>
            </w:r>
          </w:p>
        </w:tc>
        <w:tc>
          <w:tcPr>
            <w:tcW w:w="3129" w:type="dxa"/>
            <w:tcBorders>
              <w:top w:val="nil"/>
              <w:left w:val="nil"/>
              <w:bottom w:val="single" w:sz="4" w:space="0" w:color="auto"/>
              <w:right w:val="single" w:sz="4" w:space="0" w:color="auto"/>
            </w:tcBorders>
            <w:shd w:val="clear" w:color="000000" w:fill="FFFFFF"/>
            <w:vAlign w:val="bottom"/>
            <w:hideMark/>
          </w:tcPr>
          <w:p w14:paraId="76B1654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(R*,R*)-1,4-Disulfanylobutan-2,3-diol (DTT) </w:t>
            </w:r>
          </w:p>
        </w:tc>
        <w:tc>
          <w:tcPr>
            <w:tcW w:w="7264" w:type="dxa"/>
            <w:tcBorders>
              <w:top w:val="nil"/>
              <w:left w:val="nil"/>
              <w:bottom w:val="single" w:sz="4" w:space="0" w:color="auto"/>
              <w:right w:val="single" w:sz="4" w:space="0" w:color="auto"/>
            </w:tcBorders>
            <w:shd w:val="clear" w:color="000000" w:fill="FFFFFF"/>
            <w:vAlign w:val="bottom"/>
            <w:hideMark/>
          </w:tcPr>
          <w:p w14:paraId="0E882CD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odczynnik dla biotechnologii, czystość:  ≥99.4%, Numer CAS: 3483-12-3 </w:t>
            </w:r>
          </w:p>
        </w:tc>
        <w:tc>
          <w:tcPr>
            <w:tcW w:w="1584" w:type="dxa"/>
            <w:tcBorders>
              <w:top w:val="nil"/>
              <w:left w:val="nil"/>
              <w:bottom w:val="single" w:sz="4" w:space="0" w:color="auto"/>
              <w:right w:val="single" w:sz="4" w:space="0" w:color="auto"/>
            </w:tcBorders>
            <w:shd w:val="clear" w:color="000000" w:fill="FFFFFF"/>
            <w:vAlign w:val="bottom"/>
            <w:hideMark/>
          </w:tcPr>
          <w:p w14:paraId="192DF7B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13853B1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70436A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F7B09F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w:t>
            </w:r>
          </w:p>
        </w:tc>
        <w:tc>
          <w:tcPr>
            <w:tcW w:w="3129" w:type="dxa"/>
            <w:tcBorders>
              <w:top w:val="nil"/>
              <w:left w:val="nil"/>
              <w:bottom w:val="single" w:sz="4" w:space="0" w:color="auto"/>
              <w:right w:val="single" w:sz="4" w:space="0" w:color="auto"/>
            </w:tcBorders>
            <w:shd w:val="clear" w:color="000000" w:fill="FFFFFF"/>
            <w:vAlign w:val="bottom"/>
            <w:hideMark/>
          </w:tcPr>
          <w:p w14:paraId="7E39DE8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Albumina z surowicy bydlęcej (BSA)</w:t>
            </w:r>
          </w:p>
        </w:tc>
        <w:tc>
          <w:tcPr>
            <w:tcW w:w="7264" w:type="dxa"/>
            <w:tcBorders>
              <w:top w:val="nil"/>
              <w:left w:val="nil"/>
              <w:bottom w:val="single" w:sz="4" w:space="0" w:color="auto"/>
              <w:right w:val="single" w:sz="4" w:space="0" w:color="auto"/>
            </w:tcBorders>
            <w:shd w:val="clear" w:color="000000" w:fill="FFFFFF"/>
            <w:vAlign w:val="bottom"/>
            <w:hideMark/>
          </w:tcPr>
          <w:p w14:paraId="0D1B022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Albumina surowicy bydlęcej (BSA) powszechnie stosowana w protokołach hodowli komórkowych. pH 7</w:t>
            </w:r>
          </w:p>
        </w:tc>
        <w:tc>
          <w:tcPr>
            <w:tcW w:w="1584" w:type="dxa"/>
            <w:tcBorders>
              <w:top w:val="nil"/>
              <w:left w:val="nil"/>
              <w:bottom w:val="single" w:sz="4" w:space="0" w:color="auto"/>
              <w:right w:val="single" w:sz="4" w:space="0" w:color="auto"/>
            </w:tcBorders>
            <w:shd w:val="clear" w:color="000000" w:fill="FFFFFF"/>
            <w:vAlign w:val="bottom"/>
            <w:hideMark/>
          </w:tcPr>
          <w:p w14:paraId="602DE6E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5C01401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C9628BD" w14:textId="77777777" w:rsidTr="00CB32F5">
        <w:trPr>
          <w:trHeight w:val="121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7B07F8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23</w:t>
            </w:r>
          </w:p>
        </w:tc>
        <w:tc>
          <w:tcPr>
            <w:tcW w:w="3129" w:type="dxa"/>
            <w:tcBorders>
              <w:top w:val="nil"/>
              <w:left w:val="nil"/>
              <w:bottom w:val="single" w:sz="4" w:space="0" w:color="auto"/>
              <w:right w:val="single" w:sz="4" w:space="0" w:color="auto"/>
            </w:tcBorders>
            <w:shd w:val="clear" w:color="000000" w:fill="FFFFFF"/>
            <w:vAlign w:val="bottom"/>
            <w:hideMark/>
          </w:tcPr>
          <w:p w14:paraId="09192AF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Odczynniki wykrywające do metody Western</w:t>
            </w:r>
          </w:p>
        </w:tc>
        <w:tc>
          <w:tcPr>
            <w:tcW w:w="7264" w:type="dxa"/>
            <w:tcBorders>
              <w:top w:val="nil"/>
              <w:left w:val="nil"/>
              <w:bottom w:val="single" w:sz="4" w:space="0" w:color="auto"/>
              <w:right w:val="single" w:sz="4" w:space="0" w:color="auto"/>
            </w:tcBorders>
            <w:shd w:val="clear" w:color="000000" w:fill="FFFFFF"/>
            <w:vAlign w:val="bottom"/>
            <w:hideMark/>
          </w:tcPr>
          <w:p w14:paraId="2593410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Odczynniki wykrywające do metody Western przeznaczone do wykrywania mysich i króliczych przeciwciał pierwszorzedowych przy użyciu przeciwciał drugorzędowych skoniugowanych z HRP i odczynników ECL, zestaw zawiera 125 ml reagenta 1 i 2 co starcza na 2000 cm2 membrany</w:t>
            </w:r>
          </w:p>
        </w:tc>
        <w:tc>
          <w:tcPr>
            <w:tcW w:w="1584" w:type="dxa"/>
            <w:tcBorders>
              <w:top w:val="nil"/>
              <w:left w:val="nil"/>
              <w:bottom w:val="single" w:sz="4" w:space="0" w:color="auto"/>
              <w:right w:val="single" w:sz="4" w:space="0" w:color="auto"/>
            </w:tcBorders>
            <w:shd w:val="clear" w:color="000000" w:fill="FFFFFF"/>
            <w:vAlign w:val="bottom"/>
            <w:hideMark/>
          </w:tcPr>
          <w:p w14:paraId="1D32222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w:t>
            </w:r>
          </w:p>
        </w:tc>
        <w:tc>
          <w:tcPr>
            <w:tcW w:w="787" w:type="dxa"/>
            <w:tcBorders>
              <w:top w:val="nil"/>
              <w:left w:val="nil"/>
              <w:bottom w:val="single" w:sz="4" w:space="0" w:color="auto"/>
              <w:right w:val="single" w:sz="4" w:space="0" w:color="auto"/>
            </w:tcBorders>
            <w:shd w:val="clear" w:color="000000" w:fill="FFFFFF"/>
            <w:vAlign w:val="bottom"/>
            <w:hideMark/>
          </w:tcPr>
          <w:p w14:paraId="2754002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DB6EF7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7A5B55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24</w:t>
            </w:r>
          </w:p>
        </w:tc>
        <w:tc>
          <w:tcPr>
            <w:tcW w:w="3129" w:type="dxa"/>
            <w:tcBorders>
              <w:top w:val="nil"/>
              <w:left w:val="nil"/>
              <w:bottom w:val="single" w:sz="4" w:space="0" w:color="auto"/>
              <w:right w:val="single" w:sz="4" w:space="0" w:color="auto"/>
            </w:tcBorders>
            <w:shd w:val="clear" w:color="000000" w:fill="FFFFFF"/>
            <w:vAlign w:val="bottom"/>
            <w:hideMark/>
          </w:tcPr>
          <w:p w14:paraId="7B2A02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Paski testowe do wykrywania bakteryjnej oksydazy</w:t>
            </w:r>
          </w:p>
        </w:tc>
        <w:tc>
          <w:tcPr>
            <w:tcW w:w="7264" w:type="dxa"/>
            <w:tcBorders>
              <w:top w:val="nil"/>
              <w:left w:val="nil"/>
              <w:bottom w:val="single" w:sz="4" w:space="0" w:color="auto"/>
              <w:right w:val="single" w:sz="4" w:space="0" w:color="auto"/>
            </w:tcBorders>
            <w:shd w:val="clear" w:color="000000" w:fill="FFFFFF"/>
            <w:vAlign w:val="bottom"/>
            <w:hideMark/>
          </w:tcPr>
          <w:p w14:paraId="15B8522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System do oznaczania aktywności enzymatycznych w mikrobiologii</w:t>
            </w:r>
          </w:p>
        </w:tc>
        <w:tc>
          <w:tcPr>
            <w:tcW w:w="1584" w:type="dxa"/>
            <w:tcBorders>
              <w:top w:val="nil"/>
              <w:left w:val="nil"/>
              <w:bottom w:val="single" w:sz="4" w:space="0" w:color="auto"/>
              <w:right w:val="single" w:sz="4" w:space="0" w:color="auto"/>
            </w:tcBorders>
            <w:shd w:val="clear" w:color="000000" w:fill="FFFFFF"/>
            <w:vAlign w:val="bottom"/>
            <w:hideMark/>
          </w:tcPr>
          <w:p w14:paraId="5B35345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pasków</w:t>
            </w:r>
          </w:p>
        </w:tc>
        <w:tc>
          <w:tcPr>
            <w:tcW w:w="787" w:type="dxa"/>
            <w:tcBorders>
              <w:top w:val="nil"/>
              <w:left w:val="nil"/>
              <w:bottom w:val="single" w:sz="4" w:space="0" w:color="auto"/>
              <w:right w:val="single" w:sz="4" w:space="0" w:color="auto"/>
            </w:tcBorders>
            <w:shd w:val="clear" w:color="000000" w:fill="FFFFFF"/>
            <w:vAlign w:val="bottom"/>
            <w:hideMark/>
          </w:tcPr>
          <w:p w14:paraId="23256C4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A10A858"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E0DEA7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w:t>
            </w:r>
          </w:p>
        </w:tc>
        <w:tc>
          <w:tcPr>
            <w:tcW w:w="3129" w:type="dxa"/>
            <w:tcBorders>
              <w:top w:val="nil"/>
              <w:left w:val="nil"/>
              <w:bottom w:val="single" w:sz="4" w:space="0" w:color="auto"/>
              <w:right w:val="single" w:sz="4" w:space="0" w:color="auto"/>
            </w:tcBorders>
            <w:shd w:val="clear" w:color="000000" w:fill="FFFFFF"/>
            <w:vAlign w:val="bottom"/>
            <w:hideMark/>
          </w:tcPr>
          <w:p w14:paraId="16E7EA1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barwnik Ponceau S</w:t>
            </w:r>
          </w:p>
        </w:tc>
        <w:tc>
          <w:tcPr>
            <w:tcW w:w="7264" w:type="dxa"/>
            <w:tcBorders>
              <w:top w:val="nil"/>
              <w:left w:val="nil"/>
              <w:bottom w:val="single" w:sz="4" w:space="0" w:color="auto"/>
              <w:right w:val="single" w:sz="4" w:space="0" w:color="auto"/>
            </w:tcBorders>
            <w:shd w:val="clear" w:color="000000" w:fill="FFFFFF"/>
            <w:vAlign w:val="bottom"/>
            <w:hideMark/>
          </w:tcPr>
          <w:p w14:paraId="5A0B28B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 barwienia membrany po przeniesieniu białek z żelu poliakrylamidowego, Numer CAS: 6226-79-5</w:t>
            </w:r>
          </w:p>
        </w:tc>
        <w:tc>
          <w:tcPr>
            <w:tcW w:w="1584" w:type="dxa"/>
            <w:tcBorders>
              <w:top w:val="nil"/>
              <w:left w:val="nil"/>
              <w:bottom w:val="single" w:sz="4" w:space="0" w:color="auto"/>
              <w:right w:val="single" w:sz="4" w:space="0" w:color="auto"/>
            </w:tcBorders>
            <w:shd w:val="clear" w:color="000000" w:fill="FFFFFF"/>
            <w:vAlign w:val="bottom"/>
            <w:hideMark/>
          </w:tcPr>
          <w:p w14:paraId="7925406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vAlign w:val="bottom"/>
            <w:hideMark/>
          </w:tcPr>
          <w:p w14:paraId="2524A66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E1C90E8"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C16F32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26</w:t>
            </w:r>
          </w:p>
        </w:tc>
        <w:tc>
          <w:tcPr>
            <w:tcW w:w="3129" w:type="dxa"/>
            <w:tcBorders>
              <w:top w:val="nil"/>
              <w:left w:val="nil"/>
              <w:bottom w:val="single" w:sz="4" w:space="0" w:color="auto"/>
              <w:right w:val="single" w:sz="4" w:space="0" w:color="auto"/>
            </w:tcBorders>
            <w:shd w:val="clear" w:color="000000" w:fill="FFFFFF"/>
            <w:vAlign w:val="bottom"/>
            <w:hideMark/>
          </w:tcPr>
          <w:p w14:paraId="577B58C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TRITON X-100</w:t>
            </w:r>
          </w:p>
        </w:tc>
        <w:tc>
          <w:tcPr>
            <w:tcW w:w="7264" w:type="dxa"/>
            <w:tcBorders>
              <w:top w:val="nil"/>
              <w:left w:val="nil"/>
              <w:bottom w:val="single" w:sz="4" w:space="0" w:color="auto"/>
              <w:right w:val="single" w:sz="4" w:space="0" w:color="auto"/>
            </w:tcBorders>
            <w:shd w:val="clear" w:color="000000" w:fill="FFFFFF"/>
            <w:vAlign w:val="bottom"/>
            <w:hideMark/>
          </w:tcPr>
          <w:p w14:paraId="32092E1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biochemii, Numer CAS: 9002-93-1</w:t>
            </w:r>
          </w:p>
        </w:tc>
        <w:tc>
          <w:tcPr>
            <w:tcW w:w="1584" w:type="dxa"/>
            <w:tcBorders>
              <w:top w:val="nil"/>
              <w:left w:val="nil"/>
              <w:bottom w:val="single" w:sz="4" w:space="0" w:color="auto"/>
              <w:right w:val="single" w:sz="4" w:space="0" w:color="auto"/>
            </w:tcBorders>
            <w:shd w:val="clear" w:color="000000" w:fill="FFFFFF"/>
            <w:vAlign w:val="bottom"/>
            <w:hideMark/>
          </w:tcPr>
          <w:p w14:paraId="253B29B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69BC0BC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1F6A88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8EFF64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27</w:t>
            </w:r>
          </w:p>
        </w:tc>
        <w:tc>
          <w:tcPr>
            <w:tcW w:w="3129" w:type="dxa"/>
            <w:tcBorders>
              <w:top w:val="nil"/>
              <w:left w:val="nil"/>
              <w:bottom w:val="single" w:sz="4" w:space="0" w:color="auto"/>
              <w:right w:val="single" w:sz="4" w:space="0" w:color="auto"/>
            </w:tcBorders>
            <w:shd w:val="clear" w:color="000000" w:fill="FFFFFF"/>
            <w:vAlign w:val="bottom"/>
            <w:hideMark/>
          </w:tcPr>
          <w:p w14:paraId="08C83ED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Fiolet krystaliczny</w:t>
            </w:r>
          </w:p>
        </w:tc>
        <w:tc>
          <w:tcPr>
            <w:tcW w:w="7264" w:type="dxa"/>
            <w:tcBorders>
              <w:top w:val="nil"/>
              <w:left w:val="nil"/>
              <w:bottom w:val="single" w:sz="4" w:space="0" w:color="auto"/>
              <w:right w:val="single" w:sz="4" w:space="0" w:color="auto"/>
            </w:tcBorders>
            <w:shd w:val="clear" w:color="000000" w:fill="FFFFFF"/>
            <w:vAlign w:val="bottom"/>
            <w:hideMark/>
          </w:tcPr>
          <w:p w14:paraId="051F7C4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związek do barwienia biofilmu, Numer CAS: 548-62-9</w:t>
            </w:r>
          </w:p>
        </w:tc>
        <w:tc>
          <w:tcPr>
            <w:tcW w:w="1584" w:type="dxa"/>
            <w:tcBorders>
              <w:top w:val="nil"/>
              <w:left w:val="nil"/>
              <w:bottom w:val="single" w:sz="4" w:space="0" w:color="auto"/>
              <w:right w:val="single" w:sz="4" w:space="0" w:color="auto"/>
            </w:tcBorders>
            <w:shd w:val="clear" w:color="000000" w:fill="FFFFFF"/>
            <w:vAlign w:val="bottom"/>
            <w:hideMark/>
          </w:tcPr>
          <w:p w14:paraId="23F0404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52DFE23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D19292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EAB4A1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28</w:t>
            </w:r>
          </w:p>
        </w:tc>
        <w:tc>
          <w:tcPr>
            <w:tcW w:w="3129" w:type="dxa"/>
            <w:tcBorders>
              <w:top w:val="nil"/>
              <w:left w:val="nil"/>
              <w:bottom w:val="single" w:sz="4" w:space="0" w:color="auto"/>
              <w:right w:val="single" w:sz="4" w:space="0" w:color="auto"/>
            </w:tcBorders>
            <w:shd w:val="clear" w:color="000000" w:fill="FFFFFF"/>
            <w:vAlign w:val="bottom"/>
            <w:hideMark/>
          </w:tcPr>
          <w:p w14:paraId="2C46E7B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Pożywka dla wzrostu nicieni, NGM</w:t>
            </w:r>
          </w:p>
        </w:tc>
        <w:tc>
          <w:tcPr>
            <w:tcW w:w="7264" w:type="dxa"/>
            <w:tcBorders>
              <w:top w:val="nil"/>
              <w:left w:val="nil"/>
              <w:bottom w:val="single" w:sz="4" w:space="0" w:color="auto"/>
              <w:right w:val="single" w:sz="4" w:space="0" w:color="auto"/>
            </w:tcBorders>
            <w:shd w:val="clear" w:color="000000" w:fill="FFFFFF"/>
            <w:vAlign w:val="bottom"/>
            <w:hideMark/>
          </w:tcPr>
          <w:p w14:paraId="373445A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NGM (NEMATODE GROWTH MEDIUM) </w:t>
            </w:r>
          </w:p>
        </w:tc>
        <w:tc>
          <w:tcPr>
            <w:tcW w:w="1584" w:type="dxa"/>
            <w:tcBorders>
              <w:top w:val="nil"/>
              <w:left w:val="nil"/>
              <w:bottom w:val="single" w:sz="4" w:space="0" w:color="auto"/>
              <w:right w:val="single" w:sz="4" w:space="0" w:color="auto"/>
            </w:tcBorders>
            <w:shd w:val="clear" w:color="000000" w:fill="FFFFFF"/>
            <w:vAlign w:val="bottom"/>
            <w:hideMark/>
          </w:tcPr>
          <w:p w14:paraId="6B5FE56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58F0E8A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3968E8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94C8DA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29</w:t>
            </w:r>
          </w:p>
        </w:tc>
        <w:tc>
          <w:tcPr>
            <w:tcW w:w="3129" w:type="dxa"/>
            <w:tcBorders>
              <w:top w:val="nil"/>
              <w:left w:val="nil"/>
              <w:bottom w:val="single" w:sz="4" w:space="0" w:color="auto"/>
              <w:right w:val="single" w:sz="4" w:space="0" w:color="auto"/>
            </w:tcBorders>
            <w:shd w:val="clear" w:color="000000" w:fill="FFFFFF"/>
            <w:vAlign w:val="bottom"/>
            <w:hideMark/>
          </w:tcPr>
          <w:p w14:paraId="48E2A9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Pepton</w:t>
            </w:r>
          </w:p>
        </w:tc>
        <w:tc>
          <w:tcPr>
            <w:tcW w:w="7264" w:type="dxa"/>
            <w:tcBorders>
              <w:top w:val="nil"/>
              <w:left w:val="nil"/>
              <w:bottom w:val="single" w:sz="4" w:space="0" w:color="auto"/>
              <w:right w:val="single" w:sz="4" w:space="0" w:color="auto"/>
            </w:tcBorders>
            <w:shd w:val="clear" w:color="000000" w:fill="FFFFFF"/>
            <w:vAlign w:val="bottom"/>
            <w:hideMark/>
          </w:tcPr>
          <w:p w14:paraId="3A8FE31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składnik podłóż mikrobiologicznych</w:t>
            </w:r>
          </w:p>
        </w:tc>
        <w:tc>
          <w:tcPr>
            <w:tcW w:w="1584" w:type="dxa"/>
            <w:tcBorders>
              <w:top w:val="nil"/>
              <w:left w:val="nil"/>
              <w:bottom w:val="single" w:sz="4" w:space="0" w:color="auto"/>
              <w:right w:val="single" w:sz="4" w:space="0" w:color="auto"/>
            </w:tcBorders>
            <w:shd w:val="clear" w:color="000000" w:fill="FFFFFF"/>
            <w:vAlign w:val="bottom"/>
            <w:hideMark/>
          </w:tcPr>
          <w:p w14:paraId="3D08954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0D543C3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3D7C7E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1E7942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c>
          <w:tcPr>
            <w:tcW w:w="3129" w:type="dxa"/>
            <w:tcBorders>
              <w:top w:val="nil"/>
              <w:left w:val="nil"/>
              <w:bottom w:val="single" w:sz="4" w:space="0" w:color="auto"/>
              <w:right w:val="single" w:sz="4" w:space="0" w:color="auto"/>
            </w:tcBorders>
            <w:shd w:val="clear" w:color="000000" w:fill="FFFFFF"/>
            <w:vAlign w:val="bottom"/>
            <w:hideMark/>
          </w:tcPr>
          <w:p w14:paraId="5C2ABF2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Hydrolizat kazeiny</w:t>
            </w:r>
          </w:p>
        </w:tc>
        <w:tc>
          <w:tcPr>
            <w:tcW w:w="7264" w:type="dxa"/>
            <w:tcBorders>
              <w:top w:val="nil"/>
              <w:left w:val="nil"/>
              <w:bottom w:val="single" w:sz="4" w:space="0" w:color="auto"/>
              <w:right w:val="single" w:sz="4" w:space="0" w:color="auto"/>
            </w:tcBorders>
            <w:shd w:val="clear" w:color="000000" w:fill="FFFFFF"/>
            <w:vAlign w:val="bottom"/>
            <w:hideMark/>
          </w:tcPr>
          <w:p w14:paraId="6EF5380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składnik podłóż mikrobiologicznych</w:t>
            </w:r>
          </w:p>
        </w:tc>
        <w:tc>
          <w:tcPr>
            <w:tcW w:w="1584" w:type="dxa"/>
            <w:tcBorders>
              <w:top w:val="nil"/>
              <w:left w:val="nil"/>
              <w:bottom w:val="single" w:sz="4" w:space="0" w:color="auto"/>
              <w:right w:val="single" w:sz="4" w:space="0" w:color="auto"/>
            </w:tcBorders>
            <w:shd w:val="clear" w:color="000000" w:fill="FFFFFF"/>
            <w:vAlign w:val="bottom"/>
            <w:hideMark/>
          </w:tcPr>
          <w:p w14:paraId="5073491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227 G</w:t>
            </w:r>
          </w:p>
        </w:tc>
        <w:tc>
          <w:tcPr>
            <w:tcW w:w="787" w:type="dxa"/>
            <w:tcBorders>
              <w:top w:val="nil"/>
              <w:left w:val="nil"/>
              <w:bottom w:val="single" w:sz="4" w:space="0" w:color="auto"/>
              <w:right w:val="single" w:sz="4" w:space="0" w:color="auto"/>
            </w:tcBorders>
            <w:shd w:val="clear" w:color="000000" w:fill="FFFFFF"/>
            <w:vAlign w:val="bottom"/>
            <w:hideMark/>
          </w:tcPr>
          <w:p w14:paraId="71C814E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409ECD0"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81DA47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31</w:t>
            </w:r>
          </w:p>
        </w:tc>
        <w:tc>
          <w:tcPr>
            <w:tcW w:w="3129" w:type="dxa"/>
            <w:tcBorders>
              <w:top w:val="nil"/>
              <w:left w:val="nil"/>
              <w:bottom w:val="single" w:sz="4" w:space="0" w:color="auto"/>
              <w:right w:val="single" w:sz="4" w:space="0" w:color="auto"/>
            </w:tcBorders>
            <w:shd w:val="clear" w:color="000000" w:fill="FFFFFF"/>
            <w:vAlign w:val="bottom"/>
            <w:hideMark/>
          </w:tcPr>
          <w:p w14:paraId="143A58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Siarczan kanamycyny</w:t>
            </w:r>
          </w:p>
        </w:tc>
        <w:tc>
          <w:tcPr>
            <w:tcW w:w="7264" w:type="dxa"/>
            <w:tcBorders>
              <w:top w:val="nil"/>
              <w:left w:val="nil"/>
              <w:bottom w:val="single" w:sz="4" w:space="0" w:color="auto"/>
              <w:right w:val="single" w:sz="4" w:space="0" w:color="auto"/>
            </w:tcBorders>
            <w:shd w:val="clear" w:color="000000" w:fill="FFFFFF"/>
            <w:vAlign w:val="bottom"/>
            <w:hideMark/>
          </w:tcPr>
          <w:p w14:paraId="1D668FE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Numer CAS: 25389-94-0</w:t>
            </w:r>
          </w:p>
        </w:tc>
        <w:tc>
          <w:tcPr>
            <w:tcW w:w="1584" w:type="dxa"/>
            <w:tcBorders>
              <w:top w:val="nil"/>
              <w:left w:val="nil"/>
              <w:bottom w:val="single" w:sz="4" w:space="0" w:color="auto"/>
              <w:right w:val="single" w:sz="4" w:space="0" w:color="auto"/>
            </w:tcBorders>
            <w:shd w:val="clear" w:color="000000" w:fill="FFFFFF"/>
            <w:vAlign w:val="bottom"/>
            <w:hideMark/>
          </w:tcPr>
          <w:p w14:paraId="02AA3C2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57D1507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4A533B47"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BCE956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32</w:t>
            </w:r>
          </w:p>
        </w:tc>
        <w:tc>
          <w:tcPr>
            <w:tcW w:w="3129" w:type="dxa"/>
            <w:tcBorders>
              <w:top w:val="nil"/>
              <w:left w:val="nil"/>
              <w:bottom w:val="single" w:sz="4" w:space="0" w:color="auto"/>
              <w:right w:val="single" w:sz="4" w:space="0" w:color="auto"/>
            </w:tcBorders>
            <w:shd w:val="clear" w:color="000000" w:fill="FFFFFF"/>
            <w:vAlign w:val="bottom"/>
            <w:hideMark/>
          </w:tcPr>
          <w:p w14:paraId="1F470A0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chloramfenikol </w:t>
            </w:r>
          </w:p>
        </w:tc>
        <w:tc>
          <w:tcPr>
            <w:tcW w:w="7264" w:type="dxa"/>
            <w:tcBorders>
              <w:top w:val="nil"/>
              <w:left w:val="nil"/>
              <w:bottom w:val="single" w:sz="4" w:space="0" w:color="auto"/>
              <w:right w:val="single" w:sz="4" w:space="0" w:color="auto"/>
            </w:tcBorders>
            <w:shd w:val="clear" w:color="000000" w:fill="FFFFFF"/>
            <w:vAlign w:val="bottom"/>
            <w:hideMark/>
          </w:tcPr>
          <w:p w14:paraId="0357A3E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czystość: ≥99%, Numer CAS: 56-75-7</w:t>
            </w:r>
          </w:p>
        </w:tc>
        <w:tc>
          <w:tcPr>
            <w:tcW w:w="1584" w:type="dxa"/>
            <w:tcBorders>
              <w:top w:val="nil"/>
              <w:left w:val="nil"/>
              <w:bottom w:val="single" w:sz="4" w:space="0" w:color="auto"/>
              <w:right w:val="single" w:sz="4" w:space="0" w:color="auto"/>
            </w:tcBorders>
            <w:shd w:val="clear" w:color="000000" w:fill="FFFFFF"/>
            <w:vAlign w:val="bottom"/>
            <w:hideMark/>
          </w:tcPr>
          <w:p w14:paraId="5438939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1982CF3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77F173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61600A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33</w:t>
            </w:r>
          </w:p>
        </w:tc>
        <w:tc>
          <w:tcPr>
            <w:tcW w:w="3129" w:type="dxa"/>
            <w:tcBorders>
              <w:top w:val="nil"/>
              <w:left w:val="nil"/>
              <w:bottom w:val="single" w:sz="4" w:space="0" w:color="auto"/>
              <w:right w:val="single" w:sz="4" w:space="0" w:color="auto"/>
            </w:tcBorders>
            <w:shd w:val="clear" w:color="000000" w:fill="FFFFFF"/>
            <w:vAlign w:val="bottom"/>
            <w:hideMark/>
          </w:tcPr>
          <w:p w14:paraId="452351F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Siarczan gentamycyny</w:t>
            </w:r>
          </w:p>
        </w:tc>
        <w:tc>
          <w:tcPr>
            <w:tcW w:w="7264" w:type="dxa"/>
            <w:tcBorders>
              <w:top w:val="nil"/>
              <w:left w:val="nil"/>
              <w:bottom w:val="single" w:sz="4" w:space="0" w:color="auto"/>
              <w:right w:val="single" w:sz="4" w:space="0" w:color="auto"/>
            </w:tcBorders>
            <w:shd w:val="clear" w:color="000000" w:fill="FFFFFF"/>
            <w:vAlign w:val="bottom"/>
            <w:hideMark/>
          </w:tcPr>
          <w:p w14:paraId="770D62F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Numer CAS: 1405-41-0</w:t>
            </w:r>
          </w:p>
        </w:tc>
        <w:tc>
          <w:tcPr>
            <w:tcW w:w="1584" w:type="dxa"/>
            <w:tcBorders>
              <w:top w:val="nil"/>
              <w:left w:val="nil"/>
              <w:bottom w:val="single" w:sz="4" w:space="0" w:color="auto"/>
              <w:right w:val="single" w:sz="4" w:space="0" w:color="auto"/>
            </w:tcBorders>
            <w:shd w:val="clear" w:color="000000" w:fill="FFFFFF"/>
            <w:vAlign w:val="bottom"/>
            <w:hideMark/>
          </w:tcPr>
          <w:p w14:paraId="5799F0C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47B6B65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660808B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1AA04A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34</w:t>
            </w:r>
          </w:p>
        </w:tc>
        <w:tc>
          <w:tcPr>
            <w:tcW w:w="3129" w:type="dxa"/>
            <w:tcBorders>
              <w:top w:val="nil"/>
              <w:left w:val="nil"/>
              <w:bottom w:val="single" w:sz="4" w:space="0" w:color="auto"/>
              <w:right w:val="single" w:sz="4" w:space="0" w:color="auto"/>
            </w:tcBorders>
            <w:shd w:val="clear" w:color="000000" w:fill="FFFFFF"/>
            <w:vAlign w:val="bottom"/>
            <w:hideMark/>
          </w:tcPr>
          <w:p w14:paraId="2282321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Sól sodowa kwasu nalidiksowego</w:t>
            </w:r>
          </w:p>
        </w:tc>
        <w:tc>
          <w:tcPr>
            <w:tcW w:w="7264" w:type="dxa"/>
            <w:tcBorders>
              <w:top w:val="nil"/>
              <w:left w:val="nil"/>
              <w:bottom w:val="single" w:sz="4" w:space="0" w:color="auto"/>
              <w:right w:val="single" w:sz="4" w:space="0" w:color="auto"/>
            </w:tcBorders>
            <w:shd w:val="clear" w:color="000000" w:fill="FFFFFF"/>
            <w:vAlign w:val="bottom"/>
            <w:hideMark/>
          </w:tcPr>
          <w:p w14:paraId="77C7B27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Numer CAS: 3374-05-8</w:t>
            </w:r>
          </w:p>
        </w:tc>
        <w:tc>
          <w:tcPr>
            <w:tcW w:w="1584" w:type="dxa"/>
            <w:tcBorders>
              <w:top w:val="nil"/>
              <w:left w:val="nil"/>
              <w:bottom w:val="single" w:sz="4" w:space="0" w:color="auto"/>
              <w:right w:val="single" w:sz="4" w:space="0" w:color="auto"/>
            </w:tcBorders>
            <w:shd w:val="clear" w:color="000000" w:fill="FFFFFF"/>
            <w:vAlign w:val="bottom"/>
            <w:hideMark/>
          </w:tcPr>
          <w:p w14:paraId="4316FFA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6459D9D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450CB2A"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D424F7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35</w:t>
            </w:r>
          </w:p>
        </w:tc>
        <w:tc>
          <w:tcPr>
            <w:tcW w:w="3129" w:type="dxa"/>
            <w:tcBorders>
              <w:top w:val="nil"/>
              <w:left w:val="nil"/>
              <w:bottom w:val="single" w:sz="4" w:space="0" w:color="auto"/>
              <w:right w:val="single" w:sz="4" w:space="0" w:color="auto"/>
            </w:tcBorders>
            <w:shd w:val="clear" w:color="000000" w:fill="FFFFFF"/>
            <w:vAlign w:val="bottom"/>
            <w:hideMark/>
          </w:tcPr>
          <w:p w14:paraId="53F0121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Sól sodowa nowobiocyny </w:t>
            </w:r>
          </w:p>
        </w:tc>
        <w:tc>
          <w:tcPr>
            <w:tcW w:w="7264" w:type="dxa"/>
            <w:tcBorders>
              <w:top w:val="nil"/>
              <w:left w:val="nil"/>
              <w:bottom w:val="single" w:sz="4" w:space="0" w:color="auto"/>
              <w:right w:val="single" w:sz="4" w:space="0" w:color="auto"/>
            </w:tcBorders>
            <w:shd w:val="clear" w:color="000000" w:fill="FFFFFF"/>
            <w:vAlign w:val="bottom"/>
            <w:hideMark/>
          </w:tcPr>
          <w:p w14:paraId="3BF24E6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czystość: ≥95%, Numer CAS: 1476-53-5</w:t>
            </w:r>
          </w:p>
        </w:tc>
        <w:tc>
          <w:tcPr>
            <w:tcW w:w="1584" w:type="dxa"/>
            <w:tcBorders>
              <w:top w:val="nil"/>
              <w:left w:val="nil"/>
              <w:bottom w:val="single" w:sz="4" w:space="0" w:color="auto"/>
              <w:right w:val="single" w:sz="4" w:space="0" w:color="auto"/>
            </w:tcBorders>
            <w:shd w:val="clear" w:color="000000" w:fill="FFFFFF"/>
            <w:vAlign w:val="bottom"/>
            <w:hideMark/>
          </w:tcPr>
          <w:p w14:paraId="59B7782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G</w:t>
            </w:r>
          </w:p>
        </w:tc>
        <w:tc>
          <w:tcPr>
            <w:tcW w:w="787" w:type="dxa"/>
            <w:tcBorders>
              <w:top w:val="nil"/>
              <w:left w:val="nil"/>
              <w:bottom w:val="single" w:sz="4" w:space="0" w:color="auto"/>
              <w:right w:val="single" w:sz="4" w:space="0" w:color="auto"/>
            </w:tcBorders>
            <w:shd w:val="clear" w:color="000000" w:fill="FFFFFF"/>
            <w:vAlign w:val="bottom"/>
            <w:hideMark/>
          </w:tcPr>
          <w:p w14:paraId="6E8A223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EC14DA5"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A8EE2E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36</w:t>
            </w:r>
          </w:p>
        </w:tc>
        <w:tc>
          <w:tcPr>
            <w:tcW w:w="3129" w:type="dxa"/>
            <w:tcBorders>
              <w:top w:val="nil"/>
              <w:left w:val="nil"/>
              <w:bottom w:val="single" w:sz="4" w:space="0" w:color="auto"/>
              <w:right w:val="single" w:sz="4" w:space="0" w:color="auto"/>
            </w:tcBorders>
            <w:shd w:val="clear" w:color="000000" w:fill="FFFFFF"/>
            <w:vAlign w:val="bottom"/>
            <w:hideMark/>
          </w:tcPr>
          <w:p w14:paraId="06A366D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Rifampicyna</w:t>
            </w:r>
          </w:p>
        </w:tc>
        <w:tc>
          <w:tcPr>
            <w:tcW w:w="7264" w:type="dxa"/>
            <w:tcBorders>
              <w:top w:val="nil"/>
              <w:left w:val="nil"/>
              <w:bottom w:val="single" w:sz="4" w:space="0" w:color="auto"/>
              <w:right w:val="single" w:sz="4" w:space="0" w:color="auto"/>
            </w:tcBorders>
            <w:shd w:val="clear" w:color="000000" w:fill="FFFFFF"/>
            <w:vAlign w:val="bottom"/>
            <w:hideMark/>
          </w:tcPr>
          <w:p w14:paraId="45AC7B4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czystość: ≥95%, Numer CAS: 13292-46-1</w:t>
            </w:r>
          </w:p>
        </w:tc>
        <w:tc>
          <w:tcPr>
            <w:tcW w:w="1584" w:type="dxa"/>
            <w:tcBorders>
              <w:top w:val="nil"/>
              <w:left w:val="nil"/>
              <w:bottom w:val="single" w:sz="4" w:space="0" w:color="auto"/>
              <w:right w:val="single" w:sz="4" w:space="0" w:color="auto"/>
            </w:tcBorders>
            <w:shd w:val="clear" w:color="000000" w:fill="FFFFFF"/>
            <w:vAlign w:val="bottom"/>
            <w:hideMark/>
          </w:tcPr>
          <w:p w14:paraId="050134D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G</w:t>
            </w:r>
          </w:p>
        </w:tc>
        <w:tc>
          <w:tcPr>
            <w:tcW w:w="787" w:type="dxa"/>
            <w:tcBorders>
              <w:top w:val="nil"/>
              <w:left w:val="nil"/>
              <w:bottom w:val="single" w:sz="4" w:space="0" w:color="auto"/>
              <w:right w:val="single" w:sz="4" w:space="0" w:color="auto"/>
            </w:tcBorders>
            <w:shd w:val="clear" w:color="000000" w:fill="FFFFFF"/>
            <w:vAlign w:val="bottom"/>
            <w:hideMark/>
          </w:tcPr>
          <w:p w14:paraId="1A55203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45700E3"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8CC9C3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37</w:t>
            </w:r>
          </w:p>
        </w:tc>
        <w:tc>
          <w:tcPr>
            <w:tcW w:w="3129" w:type="dxa"/>
            <w:tcBorders>
              <w:top w:val="nil"/>
              <w:left w:val="nil"/>
              <w:bottom w:val="single" w:sz="4" w:space="0" w:color="auto"/>
              <w:right w:val="single" w:sz="4" w:space="0" w:color="auto"/>
            </w:tcBorders>
            <w:shd w:val="clear" w:color="000000" w:fill="FFFFFF"/>
            <w:vAlign w:val="bottom"/>
            <w:hideMark/>
          </w:tcPr>
          <w:p w14:paraId="0C91CBB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Tetracyklina (ze szczepu Streptomyces), żółty proszek</w:t>
            </w:r>
          </w:p>
        </w:tc>
        <w:tc>
          <w:tcPr>
            <w:tcW w:w="7264" w:type="dxa"/>
            <w:tcBorders>
              <w:top w:val="nil"/>
              <w:left w:val="nil"/>
              <w:bottom w:val="single" w:sz="4" w:space="0" w:color="auto"/>
              <w:right w:val="single" w:sz="4" w:space="0" w:color="auto"/>
            </w:tcBorders>
            <w:shd w:val="clear" w:color="000000" w:fill="FFFFFF"/>
            <w:vAlign w:val="bottom"/>
            <w:hideMark/>
          </w:tcPr>
          <w:p w14:paraId="503FF36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Numer CAS: 60-54-8</w:t>
            </w:r>
          </w:p>
        </w:tc>
        <w:tc>
          <w:tcPr>
            <w:tcW w:w="1584" w:type="dxa"/>
            <w:tcBorders>
              <w:top w:val="nil"/>
              <w:left w:val="nil"/>
              <w:bottom w:val="single" w:sz="4" w:space="0" w:color="auto"/>
              <w:right w:val="single" w:sz="4" w:space="0" w:color="auto"/>
            </w:tcBorders>
            <w:shd w:val="clear" w:color="000000" w:fill="FFFFFF"/>
            <w:vAlign w:val="bottom"/>
            <w:hideMark/>
          </w:tcPr>
          <w:p w14:paraId="4068C54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0E6503F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580C739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8C9E79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38</w:t>
            </w:r>
          </w:p>
        </w:tc>
        <w:tc>
          <w:tcPr>
            <w:tcW w:w="3129" w:type="dxa"/>
            <w:tcBorders>
              <w:top w:val="nil"/>
              <w:left w:val="nil"/>
              <w:bottom w:val="single" w:sz="4" w:space="0" w:color="auto"/>
              <w:right w:val="single" w:sz="4" w:space="0" w:color="auto"/>
            </w:tcBorders>
            <w:shd w:val="clear" w:color="000000" w:fill="FFFFFF"/>
            <w:vAlign w:val="bottom"/>
            <w:hideMark/>
          </w:tcPr>
          <w:p w14:paraId="64C697F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Trimetoprim </w:t>
            </w:r>
          </w:p>
        </w:tc>
        <w:tc>
          <w:tcPr>
            <w:tcW w:w="7264" w:type="dxa"/>
            <w:tcBorders>
              <w:top w:val="nil"/>
              <w:left w:val="nil"/>
              <w:bottom w:val="single" w:sz="4" w:space="0" w:color="auto"/>
              <w:right w:val="single" w:sz="4" w:space="0" w:color="auto"/>
            </w:tcBorders>
            <w:shd w:val="clear" w:color="000000" w:fill="FFFFFF"/>
            <w:vAlign w:val="bottom"/>
            <w:hideMark/>
          </w:tcPr>
          <w:p w14:paraId="31C0F88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99,8%, Numer CAS: 738-70-5</w:t>
            </w:r>
          </w:p>
        </w:tc>
        <w:tc>
          <w:tcPr>
            <w:tcW w:w="1584" w:type="dxa"/>
            <w:tcBorders>
              <w:top w:val="nil"/>
              <w:left w:val="nil"/>
              <w:bottom w:val="single" w:sz="4" w:space="0" w:color="auto"/>
              <w:right w:val="single" w:sz="4" w:space="0" w:color="auto"/>
            </w:tcBorders>
            <w:shd w:val="clear" w:color="000000" w:fill="FFFFFF"/>
            <w:vAlign w:val="bottom"/>
            <w:hideMark/>
          </w:tcPr>
          <w:p w14:paraId="530C5C4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vAlign w:val="bottom"/>
            <w:hideMark/>
          </w:tcPr>
          <w:p w14:paraId="1C3C802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21A8BCD"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0BC310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39</w:t>
            </w:r>
          </w:p>
        </w:tc>
        <w:tc>
          <w:tcPr>
            <w:tcW w:w="3129" w:type="dxa"/>
            <w:tcBorders>
              <w:top w:val="nil"/>
              <w:left w:val="nil"/>
              <w:bottom w:val="single" w:sz="4" w:space="0" w:color="auto"/>
              <w:right w:val="single" w:sz="4" w:space="0" w:color="auto"/>
            </w:tcBorders>
            <w:shd w:val="clear" w:color="000000" w:fill="FFFFFF"/>
            <w:vAlign w:val="bottom"/>
            <w:hideMark/>
          </w:tcPr>
          <w:p w14:paraId="7EB13E4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Pentahydrat dichlorowodorku spektynomycyny</w:t>
            </w:r>
          </w:p>
        </w:tc>
        <w:tc>
          <w:tcPr>
            <w:tcW w:w="7264" w:type="dxa"/>
            <w:tcBorders>
              <w:top w:val="nil"/>
              <w:left w:val="nil"/>
              <w:bottom w:val="single" w:sz="4" w:space="0" w:color="auto"/>
              <w:right w:val="single" w:sz="4" w:space="0" w:color="auto"/>
            </w:tcBorders>
            <w:shd w:val="clear" w:color="000000" w:fill="FFFFFF"/>
            <w:vAlign w:val="bottom"/>
            <w:hideMark/>
          </w:tcPr>
          <w:p w14:paraId="70AEB26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uzupełnienie podłóż mikrobiologicznych, Numer CAS: 22189-32-8</w:t>
            </w:r>
          </w:p>
        </w:tc>
        <w:tc>
          <w:tcPr>
            <w:tcW w:w="1584" w:type="dxa"/>
            <w:tcBorders>
              <w:top w:val="nil"/>
              <w:left w:val="nil"/>
              <w:bottom w:val="single" w:sz="4" w:space="0" w:color="auto"/>
              <w:right w:val="single" w:sz="4" w:space="0" w:color="auto"/>
            </w:tcBorders>
            <w:shd w:val="clear" w:color="000000" w:fill="FFFFFF"/>
            <w:vAlign w:val="bottom"/>
            <w:hideMark/>
          </w:tcPr>
          <w:p w14:paraId="78FF3BC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72A57F8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61630D36"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F721A0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40</w:t>
            </w:r>
          </w:p>
        </w:tc>
        <w:tc>
          <w:tcPr>
            <w:tcW w:w="3129" w:type="dxa"/>
            <w:tcBorders>
              <w:top w:val="nil"/>
              <w:left w:val="nil"/>
              <w:bottom w:val="single" w:sz="4" w:space="0" w:color="auto"/>
              <w:right w:val="single" w:sz="4" w:space="0" w:color="auto"/>
            </w:tcBorders>
            <w:shd w:val="clear" w:color="000000" w:fill="FFFFFF"/>
            <w:vAlign w:val="bottom"/>
            <w:hideMark/>
          </w:tcPr>
          <w:p w14:paraId="375C6CB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Krążki do oznaczania antygenów i antybiotyków</w:t>
            </w:r>
          </w:p>
        </w:tc>
        <w:tc>
          <w:tcPr>
            <w:tcW w:w="7264" w:type="dxa"/>
            <w:tcBorders>
              <w:top w:val="nil"/>
              <w:left w:val="nil"/>
              <w:bottom w:val="single" w:sz="4" w:space="0" w:color="auto"/>
              <w:right w:val="single" w:sz="4" w:space="0" w:color="auto"/>
            </w:tcBorders>
            <w:shd w:val="clear" w:color="000000" w:fill="FFFFFF"/>
            <w:vAlign w:val="bottom"/>
            <w:hideMark/>
          </w:tcPr>
          <w:p w14:paraId="6FC4300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krążki bibułowe do nasączania roztworem antygenu lub antybiotyku, zastosowanie: mikrobiologia </w:t>
            </w:r>
          </w:p>
        </w:tc>
        <w:tc>
          <w:tcPr>
            <w:tcW w:w="1584" w:type="dxa"/>
            <w:tcBorders>
              <w:top w:val="nil"/>
              <w:left w:val="nil"/>
              <w:bottom w:val="single" w:sz="4" w:space="0" w:color="auto"/>
              <w:right w:val="single" w:sz="4" w:space="0" w:color="auto"/>
            </w:tcBorders>
            <w:shd w:val="clear" w:color="000000" w:fill="FFFFFF"/>
            <w:vAlign w:val="bottom"/>
            <w:hideMark/>
          </w:tcPr>
          <w:p w14:paraId="547269A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krążków/fiolka</w:t>
            </w:r>
          </w:p>
        </w:tc>
        <w:tc>
          <w:tcPr>
            <w:tcW w:w="787" w:type="dxa"/>
            <w:tcBorders>
              <w:top w:val="nil"/>
              <w:left w:val="nil"/>
              <w:bottom w:val="single" w:sz="4" w:space="0" w:color="auto"/>
              <w:right w:val="single" w:sz="4" w:space="0" w:color="auto"/>
            </w:tcBorders>
            <w:shd w:val="clear" w:color="000000" w:fill="FFFFFF"/>
            <w:vAlign w:val="bottom"/>
            <w:hideMark/>
          </w:tcPr>
          <w:p w14:paraId="444D37D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F36DC7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FFECAF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41</w:t>
            </w:r>
          </w:p>
        </w:tc>
        <w:tc>
          <w:tcPr>
            <w:tcW w:w="3129" w:type="dxa"/>
            <w:tcBorders>
              <w:top w:val="nil"/>
              <w:left w:val="nil"/>
              <w:bottom w:val="single" w:sz="4" w:space="0" w:color="auto"/>
              <w:right w:val="single" w:sz="4" w:space="0" w:color="auto"/>
            </w:tcBorders>
            <w:shd w:val="clear" w:color="000000" w:fill="FFFFFF"/>
            <w:vAlign w:val="bottom"/>
            <w:hideMark/>
          </w:tcPr>
          <w:p w14:paraId="5CBDA40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Tris (trisma base)</w:t>
            </w:r>
          </w:p>
        </w:tc>
        <w:tc>
          <w:tcPr>
            <w:tcW w:w="7264" w:type="dxa"/>
            <w:tcBorders>
              <w:top w:val="nil"/>
              <w:left w:val="nil"/>
              <w:bottom w:val="single" w:sz="4" w:space="0" w:color="auto"/>
              <w:right w:val="single" w:sz="4" w:space="0" w:color="auto"/>
            </w:tcBorders>
            <w:shd w:val="clear" w:color="000000" w:fill="FFFFFF"/>
            <w:vAlign w:val="bottom"/>
            <w:hideMark/>
          </w:tcPr>
          <w:p w14:paraId="724B484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Odczynnik do biologii molekularnej, Numer CAS: 77-86-1 </w:t>
            </w:r>
          </w:p>
        </w:tc>
        <w:tc>
          <w:tcPr>
            <w:tcW w:w="1584" w:type="dxa"/>
            <w:tcBorders>
              <w:top w:val="nil"/>
              <w:left w:val="nil"/>
              <w:bottom w:val="single" w:sz="4" w:space="0" w:color="auto"/>
              <w:right w:val="single" w:sz="4" w:space="0" w:color="auto"/>
            </w:tcBorders>
            <w:shd w:val="clear" w:color="000000" w:fill="FFFFFF"/>
            <w:vAlign w:val="bottom"/>
            <w:hideMark/>
          </w:tcPr>
          <w:p w14:paraId="4D20EFE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039FA98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4628AC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6B4547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42</w:t>
            </w:r>
          </w:p>
        </w:tc>
        <w:tc>
          <w:tcPr>
            <w:tcW w:w="3129" w:type="dxa"/>
            <w:tcBorders>
              <w:top w:val="nil"/>
              <w:left w:val="nil"/>
              <w:bottom w:val="single" w:sz="4" w:space="0" w:color="auto"/>
              <w:right w:val="single" w:sz="4" w:space="0" w:color="auto"/>
            </w:tcBorders>
            <w:shd w:val="clear" w:color="000000" w:fill="FFFFFF"/>
            <w:vAlign w:val="bottom"/>
            <w:hideMark/>
          </w:tcPr>
          <w:p w14:paraId="1F1A0D0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Glicyna </w:t>
            </w:r>
          </w:p>
        </w:tc>
        <w:tc>
          <w:tcPr>
            <w:tcW w:w="7264" w:type="dxa"/>
            <w:tcBorders>
              <w:top w:val="nil"/>
              <w:left w:val="nil"/>
              <w:bottom w:val="single" w:sz="4" w:space="0" w:color="auto"/>
              <w:right w:val="single" w:sz="4" w:space="0" w:color="auto"/>
            </w:tcBorders>
            <w:shd w:val="clear" w:color="000000" w:fill="FFFFFF"/>
            <w:vAlign w:val="bottom"/>
            <w:hideMark/>
          </w:tcPr>
          <w:p w14:paraId="4572F30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odczynnik dla biotechnologii, czystość: ≥99%, Numer CAS: 56-40-6 </w:t>
            </w:r>
          </w:p>
        </w:tc>
        <w:tc>
          <w:tcPr>
            <w:tcW w:w="1584" w:type="dxa"/>
            <w:tcBorders>
              <w:top w:val="nil"/>
              <w:left w:val="nil"/>
              <w:bottom w:val="single" w:sz="4" w:space="0" w:color="auto"/>
              <w:right w:val="single" w:sz="4" w:space="0" w:color="auto"/>
            </w:tcBorders>
            <w:shd w:val="clear" w:color="000000" w:fill="FFFFFF"/>
            <w:vAlign w:val="bottom"/>
            <w:hideMark/>
          </w:tcPr>
          <w:p w14:paraId="65E133F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0B92A8C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C9DBA1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373BB8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43</w:t>
            </w:r>
          </w:p>
        </w:tc>
        <w:tc>
          <w:tcPr>
            <w:tcW w:w="3129" w:type="dxa"/>
            <w:tcBorders>
              <w:top w:val="nil"/>
              <w:left w:val="nil"/>
              <w:bottom w:val="single" w:sz="4" w:space="0" w:color="auto"/>
              <w:right w:val="single" w:sz="4" w:space="0" w:color="auto"/>
            </w:tcBorders>
            <w:shd w:val="clear" w:color="000000" w:fill="FFFFFF"/>
            <w:vAlign w:val="bottom"/>
            <w:hideMark/>
          </w:tcPr>
          <w:p w14:paraId="29ED265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siarczan dodecylu sodu (SDS)</w:t>
            </w:r>
          </w:p>
        </w:tc>
        <w:tc>
          <w:tcPr>
            <w:tcW w:w="7264" w:type="dxa"/>
            <w:tcBorders>
              <w:top w:val="nil"/>
              <w:left w:val="nil"/>
              <w:bottom w:val="single" w:sz="4" w:space="0" w:color="auto"/>
              <w:right w:val="single" w:sz="4" w:space="0" w:color="auto"/>
            </w:tcBorders>
            <w:shd w:val="clear" w:color="000000" w:fill="FFFFFF"/>
            <w:vAlign w:val="bottom"/>
            <w:hideMark/>
          </w:tcPr>
          <w:p w14:paraId="09E3E53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dczynnik dla biotechnologii, czystość: ≥99%, Numer CAS: 151-21-3</w:t>
            </w:r>
          </w:p>
        </w:tc>
        <w:tc>
          <w:tcPr>
            <w:tcW w:w="1584" w:type="dxa"/>
            <w:tcBorders>
              <w:top w:val="nil"/>
              <w:left w:val="nil"/>
              <w:bottom w:val="single" w:sz="4" w:space="0" w:color="auto"/>
              <w:right w:val="single" w:sz="4" w:space="0" w:color="auto"/>
            </w:tcBorders>
            <w:shd w:val="clear" w:color="000000" w:fill="FFFFFF"/>
            <w:vAlign w:val="bottom"/>
            <w:hideMark/>
          </w:tcPr>
          <w:p w14:paraId="06DC54A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4DA7776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0D075173"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9F8B2E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44</w:t>
            </w:r>
          </w:p>
        </w:tc>
        <w:tc>
          <w:tcPr>
            <w:tcW w:w="3129" w:type="dxa"/>
            <w:tcBorders>
              <w:top w:val="nil"/>
              <w:left w:val="nil"/>
              <w:bottom w:val="single" w:sz="4" w:space="0" w:color="auto"/>
              <w:right w:val="single" w:sz="4" w:space="0" w:color="auto"/>
            </w:tcBorders>
            <w:shd w:val="clear" w:color="000000" w:fill="FFFFFF"/>
            <w:vAlign w:val="bottom"/>
            <w:hideMark/>
          </w:tcPr>
          <w:p w14:paraId="14F3809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diwodorofosforan sodu, bezwodny </w:t>
            </w:r>
          </w:p>
        </w:tc>
        <w:tc>
          <w:tcPr>
            <w:tcW w:w="7264" w:type="dxa"/>
            <w:tcBorders>
              <w:top w:val="nil"/>
              <w:left w:val="nil"/>
              <w:bottom w:val="single" w:sz="4" w:space="0" w:color="auto"/>
              <w:right w:val="single" w:sz="4" w:space="0" w:color="auto"/>
            </w:tcBorders>
            <w:shd w:val="clear" w:color="000000" w:fill="FFFFFF"/>
            <w:vAlign w:val="bottom"/>
            <w:hideMark/>
          </w:tcPr>
          <w:p w14:paraId="5C98D75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czystośc: ≥98.0%, Numer CAS: 7558-80-7</w:t>
            </w:r>
          </w:p>
        </w:tc>
        <w:tc>
          <w:tcPr>
            <w:tcW w:w="1584" w:type="dxa"/>
            <w:tcBorders>
              <w:top w:val="nil"/>
              <w:left w:val="nil"/>
              <w:bottom w:val="single" w:sz="4" w:space="0" w:color="auto"/>
              <w:right w:val="single" w:sz="4" w:space="0" w:color="auto"/>
            </w:tcBorders>
            <w:shd w:val="clear" w:color="000000" w:fill="FFFFFF"/>
            <w:vAlign w:val="bottom"/>
            <w:hideMark/>
          </w:tcPr>
          <w:p w14:paraId="6E898D6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2E01903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636E77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CCC61B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45</w:t>
            </w:r>
          </w:p>
        </w:tc>
        <w:tc>
          <w:tcPr>
            <w:tcW w:w="3129" w:type="dxa"/>
            <w:tcBorders>
              <w:top w:val="nil"/>
              <w:left w:val="nil"/>
              <w:bottom w:val="single" w:sz="4" w:space="0" w:color="auto"/>
              <w:right w:val="single" w:sz="4" w:space="0" w:color="auto"/>
            </w:tcBorders>
            <w:shd w:val="clear" w:color="000000" w:fill="FFFFFF"/>
            <w:vAlign w:val="bottom"/>
            <w:hideMark/>
          </w:tcPr>
          <w:p w14:paraId="77CDD1D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Wodorofosforan disodu, bezwodny </w:t>
            </w:r>
          </w:p>
        </w:tc>
        <w:tc>
          <w:tcPr>
            <w:tcW w:w="7264" w:type="dxa"/>
            <w:tcBorders>
              <w:top w:val="nil"/>
              <w:left w:val="nil"/>
              <w:bottom w:val="single" w:sz="4" w:space="0" w:color="auto"/>
              <w:right w:val="single" w:sz="4" w:space="0" w:color="auto"/>
            </w:tcBorders>
            <w:shd w:val="clear" w:color="000000" w:fill="FFFFFF"/>
            <w:vAlign w:val="bottom"/>
            <w:hideMark/>
          </w:tcPr>
          <w:p w14:paraId="2DF82B0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7558-79-4</w:t>
            </w:r>
          </w:p>
        </w:tc>
        <w:tc>
          <w:tcPr>
            <w:tcW w:w="1584" w:type="dxa"/>
            <w:tcBorders>
              <w:top w:val="nil"/>
              <w:left w:val="nil"/>
              <w:bottom w:val="single" w:sz="4" w:space="0" w:color="auto"/>
              <w:right w:val="single" w:sz="4" w:space="0" w:color="auto"/>
            </w:tcBorders>
            <w:shd w:val="clear" w:color="000000" w:fill="FFFFFF"/>
            <w:vAlign w:val="bottom"/>
            <w:hideMark/>
          </w:tcPr>
          <w:p w14:paraId="24968F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3F107A7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60B4EE0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359CD7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46</w:t>
            </w:r>
          </w:p>
        </w:tc>
        <w:tc>
          <w:tcPr>
            <w:tcW w:w="3129" w:type="dxa"/>
            <w:tcBorders>
              <w:top w:val="nil"/>
              <w:left w:val="nil"/>
              <w:bottom w:val="single" w:sz="4" w:space="0" w:color="auto"/>
              <w:right w:val="single" w:sz="4" w:space="0" w:color="auto"/>
            </w:tcBorders>
            <w:shd w:val="clear" w:color="000000" w:fill="FFFFFF"/>
            <w:vAlign w:val="bottom"/>
            <w:hideMark/>
          </w:tcPr>
          <w:p w14:paraId="172B376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chlorek magnezu heksahydrat </w:t>
            </w:r>
          </w:p>
        </w:tc>
        <w:tc>
          <w:tcPr>
            <w:tcW w:w="7264" w:type="dxa"/>
            <w:tcBorders>
              <w:top w:val="nil"/>
              <w:left w:val="nil"/>
              <w:bottom w:val="single" w:sz="4" w:space="0" w:color="auto"/>
              <w:right w:val="single" w:sz="4" w:space="0" w:color="auto"/>
            </w:tcBorders>
            <w:shd w:val="clear" w:color="000000" w:fill="FFFFFF"/>
            <w:vAlign w:val="bottom"/>
            <w:hideMark/>
          </w:tcPr>
          <w:p w14:paraId="6FF92B9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99-102% ACS, Numer CAS: 7791-18-6</w:t>
            </w:r>
          </w:p>
        </w:tc>
        <w:tc>
          <w:tcPr>
            <w:tcW w:w="1584" w:type="dxa"/>
            <w:tcBorders>
              <w:top w:val="nil"/>
              <w:left w:val="nil"/>
              <w:bottom w:val="single" w:sz="4" w:space="0" w:color="auto"/>
              <w:right w:val="single" w:sz="4" w:space="0" w:color="auto"/>
            </w:tcBorders>
            <w:shd w:val="clear" w:color="000000" w:fill="FFFFFF"/>
            <w:vAlign w:val="bottom"/>
            <w:hideMark/>
          </w:tcPr>
          <w:p w14:paraId="450AB4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46AFC8B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347BD7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81D381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47</w:t>
            </w:r>
          </w:p>
        </w:tc>
        <w:tc>
          <w:tcPr>
            <w:tcW w:w="3129" w:type="dxa"/>
            <w:tcBorders>
              <w:top w:val="nil"/>
              <w:left w:val="nil"/>
              <w:bottom w:val="single" w:sz="4" w:space="0" w:color="auto"/>
              <w:right w:val="single" w:sz="4" w:space="0" w:color="auto"/>
            </w:tcBorders>
            <w:shd w:val="clear" w:color="000000" w:fill="FFFFFF"/>
            <w:vAlign w:val="bottom"/>
            <w:hideMark/>
          </w:tcPr>
          <w:p w14:paraId="33FCF21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chlorek potasu </w:t>
            </w:r>
          </w:p>
        </w:tc>
        <w:tc>
          <w:tcPr>
            <w:tcW w:w="7264" w:type="dxa"/>
            <w:tcBorders>
              <w:top w:val="nil"/>
              <w:left w:val="nil"/>
              <w:bottom w:val="single" w:sz="4" w:space="0" w:color="auto"/>
              <w:right w:val="single" w:sz="4" w:space="0" w:color="auto"/>
            </w:tcBorders>
            <w:shd w:val="clear" w:color="000000" w:fill="FFFFFF"/>
            <w:vAlign w:val="bottom"/>
            <w:hideMark/>
          </w:tcPr>
          <w:p w14:paraId="09E0373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99-100.5% ACS, Numer CAS: 7447-40-7</w:t>
            </w:r>
          </w:p>
        </w:tc>
        <w:tc>
          <w:tcPr>
            <w:tcW w:w="1584" w:type="dxa"/>
            <w:tcBorders>
              <w:top w:val="nil"/>
              <w:left w:val="nil"/>
              <w:bottom w:val="single" w:sz="4" w:space="0" w:color="auto"/>
              <w:right w:val="single" w:sz="4" w:space="0" w:color="auto"/>
            </w:tcBorders>
            <w:shd w:val="clear" w:color="000000" w:fill="FFFFFF"/>
            <w:vAlign w:val="bottom"/>
            <w:hideMark/>
          </w:tcPr>
          <w:p w14:paraId="79B42C0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009CE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D8669E7"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23D528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48</w:t>
            </w:r>
          </w:p>
        </w:tc>
        <w:tc>
          <w:tcPr>
            <w:tcW w:w="3129" w:type="dxa"/>
            <w:tcBorders>
              <w:top w:val="nil"/>
              <w:left w:val="nil"/>
              <w:bottom w:val="single" w:sz="4" w:space="0" w:color="auto"/>
              <w:right w:val="single" w:sz="4" w:space="0" w:color="auto"/>
            </w:tcBorders>
            <w:shd w:val="clear" w:color="000000" w:fill="FFFFFF"/>
            <w:vAlign w:val="bottom"/>
            <w:hideMark/>
          </w:tcPr>
          <w:p w14:paraId="1594EBE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chlorek sodu </w:t>
            </w:r>
          </w:p>
        </w:tc>
        <w:tc>
          <w:tcPr>
            <w:tcW w:w="7264" w:type="dxa"/>
            <w:tcBorders>
              <w:top w:val="nil"/>
              <w:left w:val="nil"/>
              <w:bottom w:val="single" w:sz="4" w:space="0" w:color="auto"/>
              <w:right w:val="single" w:sz="4" w:space="0" w:color="auto"/>
            </w:tcBorders>
            <w:shd w:val="clear" w:color="000000" w:fill="FFFFFF"/>
            <w:vAlign w:val="bottom"/>
            <w:hideMark/>
          </w:tcPr>
          <w:p w14:paraId="0D29C57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≥99.9%, Numer CAS: 7647-14-5</w:t>
            </w:r>
          </w:p>
        </w:tc>
        <w:tc>
          <w:tcPr>
            <w:tcW w:w="1584" w:type="dxa"/>
            <w:tcBorders>
              <w:top w:val="nil"/>
              <w:left w:val="nil"/>
              <w:bottom w:val="single" w:sz="4" w:space="0" w:color="auto"/>
              <w:right w:val="single" w:sz="4" w:space="0" w:color="auto"/>
            </w:tcBorders>
            <w:shd w:val="clear" w:color="000000" w:fill="FFFFFF"/>
            <w:vAlign w:val="bottom"/>
            <w:hideMark/>
          </w:tcPr>
          <w:p w14:paraId="168A59C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KG</w:t>
            </w:r>
          </w:p>
        </w:tc>
        <w:tc>
          <w:tcPr>
            <w:tcW w:w="787" w:type="dxa"/>
            <w:tcBorders>
              <w:top w:val="nil"/>
              <w:left w:val="nil"/>
              <w:bottom w:val="single" w:sz="4" w:space="0" w:color="auto"/>
              <w:right w:val="single" w:sz="4" w:space="0" w:color="auto"/>
            </w:tcBorders>
            <w:shd w:val="clear" w:color="000000" w:fill="FFFFFF"/>
            <w:vAlign w:val="bottom"/>
            <w:hideMark/>
          </w:tcPr>
          <w:p w14:paraId="54A3DDF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11C7E9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899865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49</w:t>
            </w:r>
          </w:p>
        </w:tc>
        <w:tc>
          <w:tcPr>
            <w:tcW w:w="3129" w:type="dxa"/>
            <w:tcBorders>
              <w:top w:val="nil"/>
              <w:left w:val="nil"/>
              <w:bottom w:val="single" w:sz="4" w:space="0" w:color="auto"/>
              <w:right w:val="single" w:sz="4" w:space="0" w:color="auto"/>
            </w:tcBorders>
            <w:shd w:val="clear" w:color="000000" w:fill="FFFFFF"/>
            <w:vAlign w:val="bottom"/>
            <w:hideMark/>
          </w:tcPr>
          <w:p w14:paraId="54C416D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D-glukonian potasu </w:t>
            </w:r>
          </w:p>
        </w:tc>
        <w:tc>
          <w:tcPr>
            <w:tcW w:w="7264" w:type="dxa"/>
            <w:tcBorders>
              <w:top w:val="nil"/>
              <w:left w:val="nil"/>
              <w:bottom w:val="single" w:sz="4" w:space="0" w:color="auto"/>
              <w:right w:val="single" w:sz="4" w:space="0" w:color="auto"/>
            </w:tcBorders>
            <w:shd w:val="clear" w:color="000000" w:fill="FFFFFF"/>
            <w:vAlign w:val="bottom"/>
            <w:hideMark/>
          </w:tcPr>
          <w:p w14:paraId="01AC2DE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 Numer CAS: 299-27-4</w:t>
            </w:r>
          </w:p>
        </w:tc>
        <w:tc>
          <w:tcPr>
            <w:tcW w:w="1584" w:type="dxa"/>
            <w:tcBorders>
              <w:top w:val="nil"/>
              <w:left w:val="nil"/>
              <w:bottom w:val="single" w:sz="4" w:space="0" w:color="auto"/>
              <w:right w:val="single" w:sz="4" w:space="0" w:color="auto"/>
            </w:tcBorders>
            <w:shd w:val="clear" w:color="000000" w:fill="FFFFFF"/>
            <w:vAlign w:val="bottom"/>
            <w:hideMark/>
          </w:tcPr>
          <w:p w14:paraId="45692EC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 G</w:t>
            </w:r>
          </w:p>
        </w:tc>
        <w:tc>
          <w:tcPr>
            <w:tcW w:w="787" w:type="dxa"/>
            <w:tcBorders>
              <w:top w:val="nil"/>
              <w:left w:val="nil"/>
              <w:bottom w:val="single" w:sz="4" w:space="0" w:color="auto"/>
              <w:right w:val="single" w:sz="4" w:space="0" w:color="auto"/>
            </w:tcBorders>
            <w:shd w:val="clear" w:color="000000" w:fill="FFFFFF"/>
            <w:vAlign w:val="bottom"/>
            <w:hideMark/>
          </w:tcPr>
          <w:p w14:paraId="6F33CBC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94EFCD5"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D31017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w:t>
            </w:r>
          </w:p>
        </w:tc>
        <w:tc>
          <w:tcPr>
            <w:tcW w:w="3129" w:type="dxa"/>
            <w:tcBorders>
              <w:top w:val="nil"/>
              <w:left w:val="nil"/>
              <w:bottom w:val="single" w:sz="4" w:space="0" w:color="auto"/>
              <w:right w:val="single" w:sz="4" w:space="0" w:color="auto"/>
            </w:tcBorders>
            <w:shd w:val="clear" w:color="000000" w:fill="FFFFFF"/>
            <w:vAlign w:val="bottom"/>
            <w:hideMark/>
          </w:tcPr>
          <w:p w14:paraId="4C11AB7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diwodorofosforan potasu, bezwodny</w:t>
            </w:r>
          </w:p>
        </w:tc>
        <w:tc>
          <w:tcPr>
            <w:tcW w:w="7264" w:type="dxa"/>
            <w:tcBorders>
              <w:top w:val="nil"/>
              <w:left w:val="nil"/>
              <w:bottom w:val="single" w:sz="4" w:space="0" w:color="auto"/>
              <w:right w:val="single" w:sz="4" w:space="0" w:color="auto"/>
            </w:tcBorders>
            <w:shd w:val="clear" w:color="000000" w:fill="FFFFFF"/>
            <w:vAlign w:val="bottom"/>
            <w:hideMark/>
          </w:tcPr>
          <w:p w14:paraId="5CECA6E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 ACS, Numer CAS: 7778-77-0</w:t>
            </w:r>
          </w:p>
        </w:tc>
        <w:tc>
          <w:tcPr>
            <w:tcW w:w="1584" w:type="dxa"/>
            <w:tcBorders>
              <w:top w:val="nil"/>
              <w:left w:val="nil"/>
              <w:bottom w:val="single" w:sz="4" w:space="0" w:color="auto"/>
              <w:right w:val="single" w:sz="4" w:space="0" w:color="auto"/>
            </w:tcBorders>
            <w:shd w:val="clear" w:color="000000" w:fill="FFFFFF"/>
            <w:vAlign w:val="bottom"/>
            <w:hideMark/>
          </w:tcPr>
          <w:p w14:paraId="7DCC23F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B8BB29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3B8EB75"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646572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51</w:t>
            </w:r>
          </w:p>
        </w:tc>
        <w:tc>
          <w:tcPr>
            <w:tcW w:w="3129" w:type="dxa"/>
            <w:tcBorders>
              <w:top w:val="nil"/>
              <w:left w:val="nil"/>
              <w:bottom w:val="single" w:sz="4" w:space="0" w:color="auto"/>
              <w:right w:val="single" w:sz="4" w:space="0" w:color="auto"/>
            </w:tcBorders>
            <w:shd w:val="clear" w:color="000000" w:fill="FFFFFF"/>
            <w:vAlign w:val="bottom"/>
            <w:hideMark/>
          </w:tcPr>
          <w:p w14:paraId="1389B8C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EDTA (Kwas etylenodiaminotetraoctowy) </w:t>
            </w:r>
          </w:p>
        </w:tc>
        <w:tc>
          <w:tcPr>
            <w:tcW w:w="7264" w:type="dxa"/>
            <w:tcBorders>
              <w:top w:val="nil"/>
              <w:left w:val="nil"/>
              <w:bottom w:val="single" w:sz="4" w:space="0" w:color="auto"/>
              <w:right w:val="single" w:sz="4" w:space="0" w:color="auto"/>
            </w:tcBorders>
            <w:shd w:val="clear" w:color="000000" w:fill="FFFFFF"/>
            <w:vAlign w:val="bottom"/>
            <w:hideMark/>
          </w:tcPr>
          <w:p w14:paraId="2583573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≥99.5%, Ultraczysty, Numer CAS: 60-00-4</w:t>
            </w:r>
          </w:p>
        </w:tc>
        <w:tc>
          <w:tcPr>
            <w:tcW w:w="1584" w:type="dxa"/>
            <w:tcBorders>
              <w:top w:val="nil"/>
              <w:left w:val="nil"/>
              <w:bottom w:val="single" w:sz="4" w:space="0" w:color="auto"/>
              <w:right w:val="single" w:sz="4" w:space="0" w:color="auto"/>
            </w:tcBorders>
            <w:shd w:val="clear" w:color="000000" w:fill="FFFFFF"/>
            <w:vAlign w:val="bottom"/>
            <w:hideMark/>
          </w:tcPr>
          <w:p w14:paraId="3AB551B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590C9B9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6F3A2073"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82DC2E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52</w:t>
            </w:r>
          </w:p>
        </w:tc>
        <w:tc>
          <w:tcPr>
            <w:tcW w:w="3129" w:type="dxa"/>
            <w:tcBorders>
              <w:top w:val="nil"/>
              <w:left w:val="nil"/>
              <w:bottom w:val="single" w:sz="4" w:space="0" w:color="auto"/>
              <w:right w:val="single" w:sz="4" w:space="0" w:color="auto"/>
            </w:tcBorders>
            <w:shd w:val="clear" w:color="000000" w:fill="FFFFFF"/>
            <w:vAlign w:val="bottom"/>
            <w:hideMark/>
          </w:tcPr>
          <w:p w14:paraId="0E9B7BE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L (+) askorbinowy, czysty reagent analityczny</w:t>
            </w:r>
          </w:p>
        </w:tc>
        <w:tc>
          <w:tcPr>
            <w:tcW w:w="7264" w:type="dxa"/>
            <w:tcBorders>
              <w:top w:val="nil"/>
              <w:left w:val="nil"/>
              <w:bottom w:val="single" w:sz="4" w:space="0" w:color="auto"/>
              <w:right w:val="single" w:sz="4" w:space="0" w:color="auto"/>
            </w:tcBorders>
            <w:shd w:val="clear" w:color="000000" w:fill="FFFFFF"/>
            <w:vAlign w:val="bottom"/>
            <w:hideMark/>
          </w:tcPr>
          <w:p w14:paraId="7DEE02B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50-81-7</w:t>
            </w:r>
          </w:p>
        </w:tc>
        <w:tc>
          <w:tcPr>
            <w:tcW w:w="1584" w:type="dxa"/>
            <w:tcBorders>
              <w:top w:val="nil"/>
              <w:left w:val="nil"/>
              <w:bottom w:val="single" w:sz="4" w:space="0" w:color="auto"/>
              <w:right w:val="single" w:sz="4" w:space="0" w:color="auto"/>
            </w:tcBorders>
            <w:shd w:val="clear" w:color="000000" w:fill="FFFFFF"/>
            <w:vAlign w:val="bottom"/>
            <w:hideMark/>
          </w:tcPr>
          <w:p w14:paraId="2EEC367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36F1A45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554B66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3FBD83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53</w:t>
            </w:r>
          </w:p>
        </w:tc>
        <w:tc>
          <w:tcPr>
            <w:tcW w:w="3129" w:type="dxa"/>
            <w:tcBorders>
              <w:top w:val="nil"/>
              <w:left w:val="nil"/>
              <w:bottom w:val="single" w:sz="4" w:space="0" w:color="auto"/>
              <w:right w:val="single" w:sz="4" w:space="0" w:color="auto"/>
            </w:tcBorders>
            <w:shd w:val="clear" w:color="000000" w:fill="FFFFFF"/>
            <w:vAlign w:val="bottom"/>
            <w:hideMark/>
          </w:tcPr>
          <w:p w14:paraId="0FA3446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Siarczan magnezu hydrat</w:t>
            </w:r>
          </w:p>
        </w:tc>
        <w:tc>
          <w:tcPr>
            <w:tcW w:w="7264" w:type="dxa"/>
            <w:tcBorders>
              <w:top w:val="nil"/>
              <w:left w:val="nil"/>
              <w:bottom w:val="single" w:sz="4" w:space="0" w:color="auto"/>
              <w:right w:val="single" w:sz="4" w:space="0" w:color="auto"/>
            </w:tcBorders>
            <w:shd w:val="clear" w:color="000000" w:fill="FFFFFF"/>
            <w:vAlign w:val="bottom"/>
            <w:hideMark/>
          </w:tcPr>
          <w:p w14:paraId="0583C54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99.0-101.0% , Numer CAS: 22189-08-8</w:t>
            </w:r>
          </w:p>
        </w:tc>
        <w:tc>
          <w:tcPr>
            <w:tcW w:w="1584" w:type="dxa"/>
            <w:tcBorders>
              <w:top w:val="nil"/>
              <w:left w:val="nil"/>
              <w:bottom w:val="single" w:sz="4" w:space="0" w:color="auto"/>
              <w:right w:val="single" w:sz="4" w:space="0" w:color="auto"/>
            </w:tcBorders>
            <w:shd w:val="clear" w:color="000000" w:fill="FFFFFF"/>
            <w:vAlign w:val="bottom"/>
            <w:hideMark/>
          </w:tcPr>
          <w:p w14:paraId="2B345F4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1337235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0EB66A5"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DE72EF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54</w:t>
            </w:r>
          </w:p>
        </w:tc>
        <w:tc>
          <w:tcPr>
            <w:tcW w:w="3129" w:type="dxa"/>
            <w:tcBorders>
              <w:top w:val="nil"/>
              <w:left w:val="nil"/>
              <w:bottom w:val="single" w:sz="4" w:space="0" w:color="auto"/>
              <w:right w:val="single" w:sz="4" w:space="0" w:color="auto"/>
            </w:tcBorders>
            <w:shd w:val="clear" w:color="000000" w:fill="FFFFFF"/>
            <w:vAlign w:val="bottom"/>
            <w:hideMark/>
          </w:tcPr>
          <w:p w14:paraId="0900A80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deoksycholan sodu </w:t>
            </w:r>
          </w:p>
        </w:tc>
        <w:tc>
          <w:tcPr>
            <w:tcW w:w="7264" w:type="dxa"/>
            <w:tcBorders>
              <w:top w:val="nil"/>
              <w:left w:val="nil"/>
              <w:bottom w:val="single" w:sz="4" w:space="0" w:color="auto"/>
              <w:right w:val="single" w:sz="4" w:space="0" w:color="auto"/>
            </w:tcBorders>
            <w:shd w:val="clear" w:color="000000" w:fill="FFFFFF"/>
            <w:vAlign w:val="bottom"/>
            <w:hideMark/>
          </w:tcPr>
          <w:p w14:paraId="7939B0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≥99.0%, Numer CAS: 302-95-4</w:t>
            </w:r>
          </w:p>
        </w:tc>
        <w:tc>
          <w:tcPr>
            <w:tcW w:w="1584" w:type="dxa"/>
            <w:tcBorders>
              <w:top w:val="nil"/>
              <w:left w:val="nil"/>
              <w:bottom w:val="single" w:sz="4" w:space="0" w:color="auto"/>
              <w:right w:val="single" w:sz="4" w:space="0" w:color="auto"/>
            </w:tcBorders>
            <w:shd w:val="clear" w:color="000000" w:fill="FFFFFF"/>
            <w:vAlign w:val="bottom"/>
            <w:hideMark/>
          </w:tcPr>
          <w:p w14:paraId="352DBC4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G</w:t>
            </w:r>
          </w:p>
        </w:tc>
        <w:tc>
          <w:tcPr>
            <w:tcW w:w="787" w:type="dxa"/>
            <w:tcBorders>
              <w:top w:val="nil"/>
              <w:left w:val="nil"/>
              <w:bottom w:val="single" w:sz="4" w:space="0" w:color="auto"/>
              <w:right w:val="single" w:sz="4" w:space="0" w:color="auto"/>
            </w:tcBorders>
            <w:shd w:val="clear" w:color="000000" w:fill="FFFFFF"/>
            <w:vAlign w:val="bottom"/>
            <w:hideMark/>
          </w:tcPr>
          <w:p w14:paraId="369C300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24F2D5B7"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1CD833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55</w:t>
            </w:r>
          </w:p>
        </w:tc>
        <w:tc>
          <w:tcPr>
            <w:tcW w:w="3129" w:type="dxa"/>
            <w:tcBorders>
              <w:top w:val="nil"/>
              <w:left w:val="nil"/>
              <w:bottom w:val="single" w:sz="4" w:space="0" w:color="auto"/>
              <w:right w:val="single" w:sz="4" w:space="0" w:color="auto"/>
            </w:tcBorders>
            <w:shd w:val="clear" w:color="000000" w:fill="FFFFFF"/>
            <w:vAlign w:val="bottom"/>
            <w:hideMark/>
          </w:tcPr>
          <w:p w14:paraId="442F7C1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szczawian disodowy</w:t>
            </w:r>
          </w:p>
        </w:tc>
        <w:tc>
          <w:tcPr>
            <w:tcW w:w="7264" w:type="dxa"/>
            <w:tcBorders>
              <w:top w:val="nil"/>
              <w:left w:val="nil"/>
              <w:bottom w:val="single" w:sz="4" w:space="0" w:color="auto"/>
              <w:right w:val="single" w:sz="4" w:space="0" w:color="auto"/>
            </w:tcBorders>
            <w:shd w:val="clear" w:color="000000" w:fill="FFFFFF"/>
            <w:vAlign w:val="bottom"/>
            <w:hideMark/>
          </w:tcPr>
          <w:p w14:paraId="6CB8778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≥99.0%, Numer CAS: 62-76-0</w:t>
            </w:r>
          </w:p>
        </w:tc>
        <w:tc>
          <w:tcPr>
            <w:tcW w:w="1584" w:type="dxa"/>
            <w:tcBorders>
              <w:top w:val="nil"/>
              <w:left w:val="nil"/>
              <w:bottom w:val="single" w:sz="4" w:space="0" w:color="auto"/>
              <w:right w:val="single" w:sz="4" w:space="0" w:color="auto"/>
            </w:tcBorders>
            <w:shd w:val="clear" w:color="000000" w:fill="FFFFFF"/>
            <w:vAlign w:val="bottom"/>
            <w:hideMark/>
          </w:tcPr>
          <w:p w14:paraId="7BCDE8C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256814C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494F4D2"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2FD8DC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56</w:t>
            </w:r>
          </w:p>
        </w:tc>
        <w:tc>
          <w:tcPr>
            <w:tcW w:w="3129" w:type="dxa"/>
            <w:tcBorders>
              <w:top w:val="nil"/>
              <w:left w:val="nil"/>
              <w:bottom w:val="single" w:sz="4" w:space="0" w:color="auto"/>
              <w:right w:val="single" w:sz="4" w:space="0" w:color="auto"/>
            </w:tcBorders>
            <w:shd w:val="clear" w:color="000000" w:fill="FFFFFF"/>
            <w:vAlign w:val="bottom"/>
            <w:hideMark/>
          </w:tcPr>
          <w:p w14:paraId="243492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Węglan sodu, bezwodny </w:t>
            </w:r>
          </w:p>
        </w:tc>
        <w:tc>
          <w:tcPr>
            <w:tcW w:w="7264" w:type="dxa"/>
            <w:tcBorders>
              <w:top w:val="nil"/>
              <w:left w:val="nil"/>
              <w:bottom w:val="single" w:sz="4" w:space="0" w:color="auto"/>
              <w:right w:val="single" w:sz="4" w:space="0" w:color="auto"/>
            </w:tcBorders>
            <w:shd w:val="clear" w:color="000000" w:fill="FFFFFF"/>
            <w:vAlign w:val="bottom"/>
            <w:hideMark/>
          </w:tcPr>
          <w:p w14:paraId="0FE7698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≥99.5% ACS, Numer CAS: 497-19-8</w:t>
            </w:r>
          </w:p>
        </w:tc>
        <w:tc>
          <w:tcPr>
            <w:tcW w:w="1584" w:type="dxa"/>
            <w:tcBorders>
              <w:top w:val="nil"/>
              <w:left w:val="nil"/>
              <w:bottom w:val="single" w:sz="4" w:space="0" w:color="auto"/>
              <w:right w:val="single" w:sz="4" w:space="0" w:color="auto"/>
            </w:tcBorders>
            <w:shd w:val="clear" w:color="000000" w:fill="FFFFFF"/>
            <w:vAlign w:val="bottom"/>
            <w:hideMark/>
          </w:tcPr>
          <w:p w14:paraId="3BC8BB0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EBD05D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88E211B"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1810A9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57</w:t>
            </w:r>
          </w:p>
        </w:tc>
        <w:tc>
          <w:tcPr>
            <w:tcW w:w="3129" w:type="dxa"/>
            <w:tcBorders>
              <w:top w:val="nil"/>
              <w:left w:val="nil"/>
              <w:bottom w:val="single" w:sz="4" w:space="0" w:color="auto"/>
              <w:right w:val="single" w:sz="4" w:space="0" w:color="auto"/>
            </w:tcBorders>
            <w:shd w:val="clear" w:color="000000" w:fill="FFFFFF"/>
            <w:vAlign w:val="bottom"/>
            <w:hideMark/>
          </w:tcPr>
          <w:p w14:paraId="7E7FDE5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Węglan wapnia </w:t>
            </w:r>
          </w:p>
        </w:tc>
        <w:tc>
          <w:tcPr>
            <w:tcW w:w="7264" w:type="dxa"/>
            <w:tcBorders>
              <w:top w:val="nil"/>
              <w:left w:val="nil"/>
              <w:bottom w:val="single" w:sz="4" w:space="0" w:color="auto"/>
              <w:right w:val="single" w:sz="4" w:space="0" w:color="auto"/>
            </w:tcBorders>
            <w:shd w:val="clear" w:color="000000" w:fill="FFFFFF"/>
            <w:vAlign w:val="bottom"/>
            <w:hideMark/>
          </w:tcPr>
          <w:p w14:paraId="0A8216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471-34-1</w:t>
            </w:r>
          </w:p>
        </w:tc>
        <w:tc>
          <w:tcPr>
            <w:tcW w:w="1584" w:type="dxa"/>
            <w:tcBorders>
              <w:top w:val="nil"/>
              <w:left w:val="nil"/>
              <w:bottom w:val="single" w:sz="4" w:space="0" w:color="auto"/>
              <w:right w:val="single" w:sz="4" w:space="0" w:color="auto"/>
            </w:tcBorders>
            <w:shd w:val="clear" w:color="000000" w:fill="FFFFFF"/>
            <w:vAlign w:val="bottom"/>
            <w:hideMark/>
          </w:tcPr>
          <w:p w14:paraId="3B93398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1A137C2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AC582F3"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F98F33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58</w:t>
            </w:r>
          </w:p>
        </w:tc>
        <w:tc>
          <w:tcPr>
            <w:tcW w:w="3129" w:type="dxa"/>
            <w:tcBorders>
              <w:top w:val="nil"/>
              <w:left w:val="nil"/>
              <w:bottom w:val="single" w:sz="4" w:space="0" w:color="auto"/>
              <w:right w:val="single" w:sz="4" w:space="0" w:color="auto"/>
            </w:tcBorders>
            <w:shd w:val="clear" w:color="000000" w:fill="FFFFFF"/>
            <w:vAlign w:val="bottom"/>
            <w:hideMark/>
          </w:tcPr>
          <w:p w14:paraId="29B70F6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octan sodu trihydrat </w:t>
            </w:r>
          </w:p>
        </w:tc>
        <w:tc>
          <w:tcPr>
            <w:tcW w:w="7264" w:type="dxa"/>
            <w:tcBorders>
              <w:top w:val="nil"/>
              <w:left w:val="nil"/>
              <w:bottom w:val="single" w:sz="4" w:space="0" w:color="auto"/>
              <w:right w:val="single" w:sz="4" w:space="0" w:color="auto"/>
            </w:tcBorders>
            <w:shd w:val="clear" w:color="000000" w:fill="FFFFFF"/>
            <w:vAlign w:val="bottom"/>
            <w:hideMark/>
          </w:tcPr>
          <w:p w14:paraId="6ED6791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99-101% ACS, Numer CAS: 6131-90-4</w:t>
            </w:r>
          </w:p>
        </w:tc>
        <w:tc>
          <w:tcPr>
            <w:tcW w:w="1584" w:type="dxa"/>
            <w:tcBorders>
              <w:top w:val="nil"/>
              <w:left w:val="nil"/>
              <w:bottom w:val="single" w:sz="4" w:space="0" w:color="auto"/>
              <w:right w:val="single" w:sz="4" w:space="0" w:color="auto"/>
            </w:tcBorders>
            <w:shd w:val="clear" w:color="000000" w:fill="FFFFFF"/>
            <w:vAlign w:val="bottom"/>
            <w:hideMark/>
          </w:tcPr>
          <w:p w14:paraId="34F1758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2E3678D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289F82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63D97B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59</w:t>
            </w:r>
          </w:p>
        </w:tc>
        <w:tc>
          <w:tcPr>
            <w:tcW w:w="3129" w:type="dxa"/>
            <w:tcBorders>
              <w:top w:val="nil"/>
              <w:left w:val="nil"/>
              <w:bottom w:val="single" w:sz="4" w:space="0" w:color="auto"/>
              <w:right w:val="single" w:sz="4" w:space="0" w:color="auto"/>
            </w:tcBorders>
            <w:shd w:val="clear" w:color="000000" w:fill="FFFFFF"/>
            <w:vAlign w:val="bottom"/>
            <w:hideMark/>
          </w:tcPr>
          <w:p w14:paraId="03F32A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siarczan amonu </w:t>
            </w:r>
          </w:p>
        </w:tc>
        <w:tc>
          <w:tcPr>
            <w:tcW w:w="7264" w:type="dxa"/>
            <w:tcBorders>
              <w:top w:val="nil"/>
              <w:left w:val="nil"/>
              <w:bottom w:val="single" w:sz="4" w:space="0" w:color="auto"/>
              <w:right w:val="single" w:sz="4" w:space="0" w:color="auto"/>
            </w:tcBorders>
            <w:shd w:val="clear" w:color="000000" w:fill="FFFFFF"/>
            <w:vAlign w:val="bottom"/>
            <w:hideMark/>
          </w:tcPr>
          <w:p w14:paraId="22AF0EE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 precypitacji białek, ≥99.5%, Ultraczysty, Numer CAS: 7783-20-2</w:t>
            </w:r>
          </w:p>
        </w:tc>
        <w:tc>
          <w:tcPr>
            <w:tcW w:w="1584" w:type="dxa"/>
            <w:tcBorders>
              <w:top w:val="nil"/>
              <w:left w:val="nil"/>
              <w:bottom w:val="single" w:sz="4" w:space="0" w:color="auto"/>
              <w:right w:val="single" w:sz="4" w:space="0" w:color="auto"/>
            </w:tcBorders>
            <w:shd w:val="clear" w:color="000000" w:fill="FFFFFF"/>
            <w:vAlign w:val="bottom"/>
            <w:hideMark/>
          </w:tcPr>
          <w:p w14:paraId="30DBB16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77325F9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1976FF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201B0F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60</w:t>
            </w:r>
          </w:p>
        </w:tc>
        <w:tc>
          <w:tcPr>
            <w:tcW w:w="3129" w:type="dxa"/>
            <w:tcBorders>
              <w:top w:val="nil"/>
              <w:left w:val="nil"/>
              <w:bottom w:val="single" w:sz="4" w:space="0" w:color="auto"/>
              <w:right w:val="single" w:sz="4" w:space="0" w:color="auto"/>
            </w:tcBorders>
            <w:shd w:val="clear" w:color="000000" w:fill="FFFFFF"/>
            <w:vAlign w:val="bottom"/>
            <w:hideMark/>
          </w:tcPr>
          <w:p w14:paraId="75EF6B9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D(+)-biotyna</w:t>
            </w:r>
          </w:p>
        </w:tc>
        <w:tc>
          <w:tcPr>
            <w:tcW w:w="7264" w:type="dxa"/>
            <w:tcBorders>
              <w:top w:val="nil"/>
              <w:left w:val="nil"/>
              <w:bottom w:val="single" w:sz="4" w:space="0" w:color="auto"/>
              <w:right w:val="single" w:sz="4" w:space="0" w:color="auto"/>
            </w:tcBorders>
            <w:shd w:val="clear" w:color="000000" w:fill="FFFFFF"/>
            <w:vAlign w:val="bottom"/>
            <w:hideMark/>
          </w:tcPr>
          <w:p w14:paraId="7CFF7AF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 Numer CAS: 58-85-5</w:t>
            </w:r>
          </w:p>
        </w:tc>
        <w:tc>
          <w:tcPr>
            <w:tcW w:w="1584" w:type="dxa"/>
            <w:tcBorders>
              <w:top w:val="nil"/>
              <w:left w:val="nil"/>
              <w:bottom w:val="single" w:sz="4" w:space="0" w:color="auto"/>
              <w:right w:val="single" w:sz="4" w:space="0" w:color="auto"/>
            </w:tcBorders>
            <w:shd w:val="clear" w:color="000000" w:fill="FFFFFF"/>
            <w:vAlign w:val="bottom"/>
            <w:hideMark/>
          </w:tcPr>
          <w:p w14:paraId="701D19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G</w:t>
            </w:r>
          </w:p>
        </w:tc>
        <w:tc>
          <w:tcPr>
            <w:tcW w:w="787" w:type="dxa"/>
            <w:tcBorders>
              <w:top w:val="nil"/>
              <w:left w:val="nil"/>
              <w:bottom w:val="single" w:sz="4" w:space="0" w:color="auto"/>
              <w:right w:val="single" w:sz="4" w:space="0" w:color="auto"/>
            </w:tcBorders>
            <w:shd w:val="clear" w:color="000000" w:fill="FFFFFF"/>
            <w:vAlign w:val="bottom"/>
            <w:hideMark/>
          </w:tcPr>
          <w:p w14:paraId="277AEB0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5ECC68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9AE48D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61</w:t>
            </w:r>
          </w:p>
        </w:tc>
        <w:tc>
          <w:tcPr>
            <w:tcW w:w="3129" w:type="dxa"/>
            <w:tcBorders>
              <w:top w:val="nil"/>
              <w:left w:val="nil"/>
              <w:bottom w:val="single" w:sz="4" w:space="0" w:color="auto"/>
              <w:right w:val="single" w:sz="4" w:space="0" w:color="auto"/>
            </w:tcBorders>
            <w:shd w:val="clear" w:color="000000" w:fill="FFFFFF"/>
            <w:vAlign w:val="bottom"/>
            <w:hideMark/>
          </w:tcPr>
          <w:p w14:paraId="4E2C52B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błękit bromofenolowy</w:t>
            </w:r>
          </w:p>
        </w:tc>
        <w:tc>
          <w:tcPr>
            <w:tcW w:w="7264" w:type="dxa"/>
            <w:tcBorders>
              <w:top w:val="nil"/>
              <w:left w:val="nil"/>
              <w:bottom w:val="single" w:sz="4" w:space="0" w:color="auto"/>
              <w:right w:val="single" w:sz="4" w:space="0" w:color="auto"/>
            </w:tcBorders>
            <w:shd w:val="clear" w:color="000000" w:fill="FFFFFF"/>
            <w:vAlign w:val="bottom"/>
            <w:hideMark/>
          </w:tcPr>
          <w:p w14:paraId="156E19B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ACS, Numer CAS: 115-39-9</w:t>
            </w:r>
          </w:p>
        </w:tc>
        <w:tc>
          <w:tcPr>
            <w:tcW w:w="1584" w:type="dxa"/>
            <w:tcBorders>
              <w:top w:val="nil"/>
              <w:left w:val="nil"/>
              <w:bottom w:val="single" w:sz="4" w:space="0" w:color="auto"/>
              <w:right w:val="single" w:sz="4" w:space="0" w:color="auto"/>
            </w:tcBorders>
            <w:shd w:val="clear" w:color="000000" w:fill="FFFFFF"/>
            <w:vAlign w:val="bottom"/>
            <w:hideMark/>
          </w:tcPr>
          <w:p w14:paraId="3BDC3B4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G</w:t>
            </w:r>
          </w:p>
        </w:tc>
        <w:tc>
          <w:tcPr>
            <w:tcW w:w="787" w:type="dxa"/>
            <w:tcBorders>
              <w:top w:val="nil"/>
              <w:left w:val="nil"/>
              <w:bottom w:val="single" w:sz="4" w:space="0" w:color="auto"/>
              <w:right w:val="single" w:sz="4" w:space="0" w:color="auto"/>
            </w:tcBorders>
            <w:shd w:val="clear" w:color="000000" w:fill="FFFFFF"/>
            <w:vAlign w:val="bottom"/>
            <w:hideMark/>
          </w:tcPr>
          <w:p w14:paraId="0ADB9B9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3E5D424"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789C8C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62</w:t>
            </w:r>
          </w:p>
        </w:tc>
        <w:tc>
          <w:tcPr>
            <w:tcW w:w="3129" w:type="dxa"/>
            <w:tcBorders>
              <w:top w:val="nil"/>
              <w:left w:val="nil"/>
              <w:bottom w:val="single" w:sz="4" w:space="0" w:color="auto"/>
              <w:right w:val="single" w:sz="4" w:space="0" w:color="auto"/>
            </w:tcBorders>
            <w:shd w:val="clear" w:color="000000" w:fill="FFFFFF"/>
            <w:vAlign w:val="bottom"/>
            <w:hideMark/>
          </w:tcPr>
          <w:p w14:paraId="4BE7F43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chlorek żelaza (III) heksahydrat </w:t>
            </w:r>
          </w:p>
        </w:tc>
        <w:tc>
          <w:tcPr>
            <w:tcW w:w="7264" w:type="dxa"/>
            <w:tcBorders>
              <w:top w:val="nil"/>
              <w:left w:val="nil"/>
              <w:bottom w:val="single" w:sz="4" w:space="0" w:color="auto"/>
              <w:right w:val="single" w:sz="4" w:space="0" w:color="auto"/>
            </w:tcBorders>
            <w:shd w:val="clear" w:color="000000" w:fill="FFFFFF"/>
            <w:vAlign w:val="bottom"/>
            <w:hideMark/>
          </w:tcPr>
          <w:p w14:paraId="1C9113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97.0-102.0%, ACS, Numer CAS: 10025-77-1</w:t>
            </w:r>
          </w:p>
        </w:tc>
        <w:tc>
          <w:tcPr>
            <w:tcW w:w="1584" w:type="dxa"/>
            <w:tcBorders>
              <w:top w:val="nil"/>
              <w:left w:val="nil"/>
              <w:bottom w:val="single" w:sz="4" w:space="0" w:color="auto"/>
              <w:right w:val="single" w:sz="4" w:space="0" w:color="auto"/>
            </w:tcBorders>
            <w:shd w:val="clear" w:color="000000" w:fill="FFFFFF"/>
            <w:vAlign w:val="bottom"/>
            <w:hideMark/>
          </w:tcPr>
          <w:p w14:paraId="04A8418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45E66CB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83FEACB"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308483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63</w:t>
            </w:r>
          </w:p>
        </w:tc>
        <w:tc>
          <w:tcPr>
            <w:tcW w:w="3129" w:type="dxa"/>
            <w:tcBorders>
              <w:top w:val="nil"/>
              <w:left w:val="nil"/>
              <w:bottom w:val="single" w:sz="4" w:space="0" w:color="auto"/>
              <w:right w:val="single" w:sz="4" w:space="0" w:color="auto"/>
            </w:tcBorders>
            <w:shd w:val="clear" w:color="000000" w:fill="FFFFFF"/>
            <w:vAlign w:val="bottom"/>
            <w:hideMark/>
          </w:tcPr>
          <w:p w14:paraId="3FC819D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L(+)-histydyna</w:t>
            </w:r>
          </w:p>
        </w:tc>
        <w:tc>
          <w:tcPr>
            <w:tcW w:w="7264" w:type="dxa"/>
            <w:tcBorders>
              <w:top w:val="nil"/>
              <w:left w:val="nil"/>
              <w:bottom w:val="single" w:sz="4" w:space="0" w:color="auto"/>
              <w:right w:val="single" w:sz="4" w:space="0" w:color="auto"/>
            </w:tcBorders>
            <w:shd w:val="clear" w:color="000000" w:fill="FFFFFF"/>
            <w:vAlign w:val="bottom"/>
            <w:hideMark/>
          </w:tcPr>
          <w:p w14:paraId="7A94F4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71-00-1</w:t>
            </w:r>
          </w:p>
        </w:tc>
        <w:tc>
          <w:tcPr>
            <w:tcW w:w="1584" w:type="dxa"/>
            <w:tcBorders>
              <w:top w:val="nil"/>
              <w:left w:val="nil"/>
              <w:bottom w:val="single" w:sz="4" w:space="0" w:color="auto"/>
              <w:right w:val="single" w:sz="4" w:space="0" w:color="auto"/>
            </w:tcBorders>
            <w:shd w:val="clear" w:color="000000" w:fill="FFFFFF"/>
            <w:vAlign w:val="bottom"/>
            <w:hideMark/>
          </w:tcPr>
          <w:p w14:paraId="3F79609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2E7B38D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0E5E3AD8"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71F360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64</w:t>
            </w:r>
          </w:p>
        </w:tc>
        <w:tc>
          <w:tcPr>
            <w:tcW w:w="3129" w:type="dxa"/>
            <w:tcBorders>
              <w:top w:val="nil"/>
              <w:left w:val="nil"/>
              <w:bottom w:val="single" w:sz="4" w:space="0" w:color="auto"/>
              <w:right w:val="single" w:sz="4" w:space="0" w:color="auto"/>
            </w:tcBorders>
            <w:shd w:val="clear" w:color="000000" w:fill="FFFFFF"/>
            <w:vAlign w:val="bottom"/>
            <w:hideMark/>
          </w:tcPr>
          <w:p w14:paraId="6369756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wodorowęglan amonu</w:t>
            </w:r>
          </w:p>
        </w:tc>
        <w:tc>
          <w:tcPr>
            <w:tcW w:w="7264" w:type="dxa"/>
            <w:tcBorders>
              <w:top w:val="nil"/>
              <w:left w:val="nil"/>
              <w:bottom w:val="single" w:sz="4" w:space="0" w:color="auto"/>
              <w:right w:val="single" w:sz="4" w:space="0" w:color="auto"/>
            </w:tcBorders>
            <w:shd w:val="clear" w:color="000000" w:fill="FFFFFF"/>
            <w:vAlign w:val="bottom"/>
            <w:hideMark/>
          </w:tcPr>
          <w:p w14:paraId="5FCAB53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1066-33-7</w:t>
            </w:r>
          </w:p>
        </w:tc>
        <w:tc>
          <w:tcPr>
            <w:tcW w:w="1584" w:type="dxa"/>
            <w:tcBorders>
              <w:top w:val="nil"/>
              <w:left w:val="nil"/>
              <w:bottom w:val="single" w:sz="4" w:space="0" w:color="auto"/>
              <w:right w:val="single" w:sz="4" w:space="0" w:color="auto"/>
            </w:tcBorders>
            <w:shd w:val="clear" w:color="000000" w:fill="FFFFFF"/>
            <w:vAlign w:val="bottom"/>
            <w:hideMark/>
          </w:tcPr>
          <w:p w14:paraId="7E97821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5663DD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7B0D9F2"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004219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65</w:t>
            </w:r>
          </w:p>
        </w:tc>
        <w:tc>
          <w:tcPr>
            <w:tcW w:w="3129" w:type="dxa"/>
            <w:tcBorders>
              <w:top w:val="nil"/>
              <w:left w:val="nil"/>
              <w:bottom w:val="single" w:sz="4" w:space="0" w:color="auto"/>
              <w:right w:val="single" w:sz="4" w:space="0" w:color="auto"/>
            </w:tcBorders>
            <w:shd w:val="clear" w:color="000000" w:fill="FFFFFF"/>
            <w:vAlign w:val="bottom"/>
            <w:hideMark/>
          </w:tcPr>
          <w:p w14:paraId="498AB09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N,N-Dimetyloformamid </w:t>
            </w:r>
          </w:p>
        </w:tc>
        <w:tc>
          <w:tcPr>
            <w:tcW w:w="7264" w:type="dxa"/>
            <w:tcBorders>
              <w:top w:val="nil"/>
              <w:left w:val="nil"/>
              <w:bottom w:val="single" w:sz="4" w:space="0" w:color="auto"/>
              <w:right w:val="single" w:sz="4" w:space="0" w:color="auto"/>
            </w:tcBorders>
            <w:shd w:val="clear" w:color="000000" w:fill="FFFFFF"/>
            <w:vAlign w:val="bottom"/>
            <w:hideMark/>
          </w:tcPr>
          <w:p w14:paraId="68A59D4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≥99.5%, Numer CAS: 68-12-2</w:t>
            </w:r>
          </w:p>
        </w:tc>
        <w:tc>
          <w:tcPr>
            <w:tcW w:w="1584" w:type="dxa"/>
            <w:tcBorders>
              <w:top w:val="nil"/>
              <w:left w:val="nil"/>
              <w:bottom w:val="single" w:sz="4" w:space="0" w:color="auto"/>
              <w:right w:val="single" w:sz="4" w:space="0" w:color="auto"/>
            </w:tcBorders>
            <w:shd w:val="clear" w:color="000000" w:fill="FFFFFF"/>
            <w:vAlign w:val="bottom"/>
            <w:hideMark/>
          </w:tcPr>
          <w:p w14:paraId="348F490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77F1F0D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6EE25CF"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6A5E62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66</w:t>
            </w:r>
          </w:p>
        </w:tc>
        <w:tc>
          <w:tcPr>
            <w:tcW w:w="3129" w:type="dxa"/>
            <w:tcBorders>
              <w:top w:val="nil"/>
              <w:left w:val="nil"/>
              <w:bottom w:val="single" w:sz="4" w:space="0" w:color="auto"/>
              <w:right w:val="single" w:sz="4" w:space="0" w:color="auto"/>
            </w:tcBorders>
            <w:shd w:val="clear" w:color="000000" w:fill="FFFFFF"/>
            <w:vAlign w:val="bottom"/>
            <w:hideMark/>
          </w:tcPr>
          <w:p w14:paraId="557BBD8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HEPES sól sodowa</w:t>
            </w:r>
          </w:p>
        </w:tc>
        <w:tc>
          <w:tcPr>
            <w:tcW w:w="7264" w:type="dxa"/>
            <w:tcBorders>
              <w:top w:val="nil"/>
              <w:left w:val="nil"/>
              <w:bottom w:val="single" w:sz="4" w:space="0" w:color="auto"/>
              <w:right w:val="single" w:sz="4" w:space="0" w:color="auto"/>
            </w:tcBorders>
            <w:shd w:val="clear" w:color="000000" w:fill="FFFFFF"/>
            <w:vAlign w:val="bottom"/>
            <w:hideMark/>
          </w:tcPr>
          <w:p w14:paraId="072225E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≥99.5%, Numer CAS: 75277-39-3</w:t>
            </w:r>
          </w:p>
        </w:tc>
        <w:tc>
          <w:tcPr>
            <w:tcW w:w="1584" w:type="dxa"/>
            <w:tcBorders>
              <w:top w:val="nil"/>
              <w:left w:val="nil"/>
              <w:bottom w:val="single" w:sz="4" w:space="0" w:color="auto"/>
              <w:right w:val="single" w:sz="4" w:space="0" w:color="auto"/>
            </w:tcBorders>
            <w:shd w:val="clear" w:color="000000" w:fill="FFFFFF"/>
            <w:vAlign w:val="bottom"/>
            <w:hideMark/>
          </w:tcPr>
          <w:p w14:paraId="4415DF0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161AA30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DD167E6"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92D21E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67</w:t>
            </w:r>
          </w:p>
        </w:tc>
        <w:tc>
          <w:tcPr>
            <w:tcW w:w="3129" w:type="dxa"/>
            <w:tcBorders>
              <w:top w:val="nil"/>
              <w:left w:val="nil"/>
              <w:bottom w:val="single" w:sz="4" w:space="0" w:color="auto"/>
              <w:right w:val="single" w:sz="4" w:space="0" w:color="auto"/>
            </w:tcBorders>
            <w:shd w:val="clear" w:color="000000" w:fill="FFFFFF"/>
            <w:vAlign w:val="bottom"/>
            <w:hideMark/>
          </w:tcPr>
          <w:p w14:paraId="6379B0F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MOPS (kwas 4-morfolinopropanosulfonowy)</w:t>
            </w:r>
          </w:p>
        </w:tc>
        <w:tc>
          <w:tcPr>
            <w:tcW w:w="7264" w:type="dxa"/>
            <w:tcBorders>
              <w:top w:val="nil"/>
              <w:left w:val="nil"/>
              <w:bottom w:val="single" w:sz="4" w:space="0" w:color="auto"/>
              <w:right w:val="single" w:sz="4" w:space="0" w:color="auto"/>
            </w:tcBorders>
            <w:shd w:val="clear" w:color="000000" w:fill="FFFFFF"/>
            <w:vAlign w:val="bottom"/>
            <w:hideMark/>
          </w:tcPr>
          <w:p w14:paraId="4E86FA1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 ultraczysty, Numer CAS: 1132-61-2</w:t>
            </w:r>
          </w:p>
        </w:tc>
        <w:tc>
          <w:tcPr>
            <w:tcW w:w="1584" w:type="dxa"/>
            <w:tcBorders>
              <w:top w:val="nil"/>
              <w:left w:val="nil"/>
              <w:bottom w:val="single" w:sz="4" w:space="0" w:color="auto"/>
              <w:right w:val="single" w:sz="4" w:space="0" w:color="auto"/>
            </w:tcBorders>
            <w:shd w:val="clear" w:color="000000" w:fill="FFFFFF"/>
            <w:vAlign w:val="bottom"/>
            <w:hideMark/>
          </w:tcPr>
          <w:p w14:paraId="2B349EE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1CC0719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48C5D75C"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58B9A1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68</w:t>
            </w:r>
          </w:p>
        </w:tc>
        <w:tc>
          <w:tcPr>
            <w:tcW w:w="3129" w:type="dxa"/>
            <w:tcBorders>
              <w:top w:val="nil"/>
              <w:left w:val="nil"/>
              <w:bottom w:val="single" w:sz="4" w:space="0" w:color="auto"/>
              <w:right w:val="single" w:sz="4" w:space="0" w:color="auto"/>
            </w:tcBorders>
            <w:shd w:val="clear" w:color="000000" w:fill="FFFFFF"/>
            <w:vAlign w:val="bottom"/>
            <w:hideMark/>
          </w:tcPr>
          <w:p w14:paraId="57A2BB9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Roztwór SSC </w:t>
            </w:r>
          </w:p>
        </w:tc>
        <w:tc>
          <w:tcPr>
            <w:tcW w:w="7264" w:type="dxa"/>
            <w:tcBorders>
              <w:top w:val="nil"/>
              <w:left w:val="nil"/>
              <w:bottom w:val="single" w:sz="4" w:space="0" w:color="auto"/>
              <w:right w:val="single" w:sz="4" w:space="0" w:color="auto"/>
            </w:tcBorders>
            <w:shd w:val="clear" w:color="000000" w:fill="FFFFFF"/>
            <w:vAlign w:val="bottom"/>
            <w:hideMark/>
          </w:tcPr>
          <w:p w14:paraId="1903974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SSC 20X skoncentrowany (sól fizjologiczna-cytrynian sodu), odczynnik dla biotechnologii</w:t>
            </w:r>
          </w:p>
        </w:tc>
        <w:tc>
          <w:tcPr>
            <w:tcW w:w="1584" w:type="dxa"/>
            <w:tcBorders>
              <w:top w:val="nil"/>
              <w:left w:val="nil"/>
              <w:bottom w:val="single" w:sz="4" w:space="0" w:color="auto"/>
              <w:right w:val="single" w:sz="4" w:space="0" w:color="auto"/>
            </w:tcBorders>
            <w:shd w:val="clear" w:color="000000" w:fill="FFFFFF"/>
            <w:vAlign w:val="bottom"/>
            <w:hideMark/>
          </w:tcPr>
          <w:p w14:paraId="39CE54B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3B94712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B2B99D0"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8E3B75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69</w:t>
            </w:r>
          </w:p>
        </w:tc>
        <w:tc>
          <w:tcPr>
            <w:tcW w:w="3129" w:type="dxa"/>
            <w:tcBorders>
              <w:top w:val="nil"/>
              <w:left w:val="nil"/>
              <w:bottom w:val="single" w:sz="4" w:space="0" w:color="auto"/>
              <w:right w:val="single" w:sz="4" w:space="0" w:color="auto"/>
            </w:tcBorders>
            <w:shd w:val="clear" w:color="000000" w:fill="FFFFFF"/>
            <w:vAlign w:val="bottom"/>
            <w:hideMark/>
          </w:tcPr>
          <w:p w14:paraId="02FE6DE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Akrylamid/Bis-Akrylamid, </w:t>
            </w:r>
          </w:p>
        </w:tc>
        <w:tc>
          <w:tcPr>
            <w:tcW w:w="7264" w:type="dxa"/>
            <w:tcBorders>
              <w:top w:val="nil"/>
              <w:left w:val="nil"/>
              <w:bottom w:val="single" w:sz="4" w:space="0" w:color="auto"/>
              <w:right w:val="single" w:sz="4" w:space="0" w:color="auto"/>
            </w:tcBorders>
            <w:shd w:val="clear" w:color="000000" w:fill="FFFFFF"/>
            <w:vAlign w:val="bottom"/>
            <w:hideMark/>
          </w:tcPr>
          <w:p w14:paraId="75CB588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40% mieszanina akrylamid/bisakrylamid w stosunku 19:1 do wylewania żeli poliakrylamidowych do elektroforezy białek i kwasów nukleinowych, wole od Dnaz i Rnaz</w:t>
            </w:r>
          </w:p>
        </w:tc>
        <w:tc>
          <w:tcPr>
            <w:tcW w:w="1584" w:type="dxa"/>
            <w:tcBorders>
              <w:top w:val="nil"/>
              <w:left w:val="nil"/>
              <w:bottom w:val="single" w:sz="4" w:space="0" w:color="auto"/>
              <w:right w:val="single" w:sz="4" w:space="0" w:color="auto"/>
            </w:tcBorders>
            <w:shd w:val="clear" w:color="000000" w:fill="FFFFFF"/>
            <w:vAlign w:val="bottom"/>
            <w:hideMark/>
          </w:tcPr>
          <w:p w14:paraId="1510784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vAlign w:val="bottom"/>
            <w:hideMark/>
          </w:tcPr>
          <w:p w14:paraId="33E2498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F71EF2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2B864E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70</w:t>
            </w:r>
          </w:p>
        </w:tc>
        <w:tc>
          <w:tcPr>
            <w:tcW w:w="3129" w:type="dxa"/>
            <w:tcBorders>
              <w:top w:val="nil"/>
              <w:left w:val="nil"/>
              <w:bottom w:val="single" w:sz="4" w:space="0" w:color="auto"/>
              <w:right w:val="single" w:sz="4" w:space="0" w:color="auto"/>
            </w:tcBorders>
            <w:shd w:val="clear" w:color="000000" w:fill="FFFFFF"/>
            <w:vAlign w:val="bottom"/>
            <w:hideMark/>
          </w:tcPr>
          <w:p w14:paraId="1703CF6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Fenol: Chloroform: Alkohol izaamylowy </w:t>
            </w:r>
          </w:p>
        </w:tc>
        <w:tc>
          <w:tcPr>
            <w:tcW w:w="7264" w:type="dxa"/>
            <w:tcBorders>
              <w:top w:val="nil"/>
              <w:left w:val="nil"/>
              <w:bottom w:val="single" w:sz="4" w:space="0" w:color="auto"/>
              <w:right w:val="single" w:sz="4" w:space="0" w:color="auto"/>
            </w:tcBorders>
            <w:shd w:val="clear" w:color="000000" w:fill="FFFFFF"/>
            <w:vAlign w:val="bottom"/>
            <w:hideMark/>
          </w:tcPr>
          <w:p w14:paraId="08397CD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 (25:24:1), odczynnik dla biotechnologii, (v/v/v) ≥99%, Numer CAS: 136112-00-0</w:t>
            </w:r>
          </w:p>
        </w:tc>
        <w:tc>
          <w:tcPr>
            <w:tcW w:w="1584" w:type="dxa"/>
            <w:tcBorders>
              <w:top w:val="nil"/>
              <w:left w:val="nil"/>
              <w:bottom w:val="single" w:sz="4" w:space="0" w:color="auto"/>
              <w:right w:val="single" w:sz="4" w:space="0" w:color="auto"/>
            </w:tcBorders>
            <w:shd w:val="clear" w:color="000000" w:fill="FFFFFF"/>
            <w:vAlign w:val="bottom"/>
            <w:hideMark/>
          </w:tcPr>
          <w:p w14:paraId="207606D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6AF1205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19F0CB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0F0DE0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71</w:t>
            </w:r>
          </w:p>
        </w:tc>
        <w:tc>
          <w:tcPr>
            <w:tcW w:w="3129" w:type="dxa"/>
            <w:tcBorders>
              <w:top w:val="nil"/>
              <w:left w:val="nil"/>
              <w:bottom w:val="single" w:sz="4" w:space="0" w:color="auto"/>
              <w:right w:val="single" w:sz="4" w:space="0" w:color="auto"/>
            </w:tcBorders>
            <w:shd w:val="clear" w:color="000000" w:fill="FFFFFF"/>
            <w:vAlign w:val="bottom"/>
            <w:hideMark/>
          </w:tcPr>
          <w:p w14:paraId="038255C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Tween 20 (Polisorbat)</w:t>
            </w:r>
          </w:p>
        </w:tc>
        <w:tc>
          <w:tcPr>
            <w:tcW w:w="7264" w:type="dxa"/>
            <w:tcBorders>
              <w:top w:val="nil"/>
              <w:left w:val="nil"/>
              <w:bottom w:val="single" w:sz="4" w:space="0" w:color="auto"/>
              <w:right w:val="single" w:sz="4" w:space="0" w:color="auto"/>
            </w:tcBorders>
            <w:shd w:val="clear" w:color="000000" w:fill="FFFFFF"/>
            <w:vAlign w:val="bottom"/>
            <w:hideMark/>
          </w:tcPr>
          <w:p w14:paraId="3A20DB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biologii molekularnej, Numer CAS: 9005-64-5</w:t>
            </w:r>
          </w:p>
        </w:tc>
        <w:tc>
          <w:tcPr>
            <w:tcW w:w="1584" w:type="dxa"/>
            <w:tcBorders>
              <w:top w:val="nil"/>
              <w:left w:val="nil"/>
              <w:bottom w:val="single" w:sz="4" w:space="0" w:color="auto"/>
              <w:right w:val="single" w:sz="4" w:space="0" w:color="auto"/>
            </w:tcBorders>
            <w:shd w:val="clear" w:color="000000" w:fill="FFFFFF"/>
            <w:vAlign w:val="bottom"/>
            <w:hideMark/>
          </w:tcPr>
          <w:p w14:paraId="1993958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4DDC25B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F676F8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DB75CF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72</w:t>
            </w:r>
          </w:p>
        </w:tc>
        <w:tc>
          <w:tcPr>
            <w:tcW w:w="3129" w:type="dxa"/>
            <w:tcBorders>
              <w:top w:val="nil"/>
              <w:left w:val="nil"/>
              <w:bottom w:val="single" w:sz="4" w:space="0" w:color="auto"/>
              <w:right w:val="single" w:sz="4" w:space="0" w:color="auto"/>
            </w:tcBorders>
            <w:shd w:val="clear" w:color="000000" w:fill="FFFFFF"/>
            <w:vAlign w:val="bottom"/>
            <w:hideMark/>
          </w:tcPr>
          <w:p w14:paraId="1E752D3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Tween 80 (Polisorbat)</w:t>
            </w:r>
          </w:p>
        </w:tc>
        <w:tc>
          <w:tcPr>
            <w:tcW w:w="7264" w:type="dxa"/>
            <w:tcBorders>
              <w:top w:val="nil"/>
              <w:left w:val="nil"/>
              <w:bottom w:val="single" w:sz="4" w:space="0" w:color="auto"/>
              <w:right w:val="single" w:sz="4" w:space="0" w:color="auto"/>
            </w:tcBorders>
            <w:shd w:val="clear" w:color="000000" w:fill="FFFFFF"/>
            <w:vAlign w:val="bottom"/>
            <w:hideMark/>
          </w:tcPr>
          <w:p w14:paraId="1054828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do hodowli tkankowych, Numer CAS: 9005-65-6</w:t>
            </w:r>
          </w:p>
        </w:tc>
        <w:tc>
          <w:tcPr>
            <w:tcW w:w="1584" w:type="dxa"/>
            <w:tcBorders>
              <w:top w:val="nil"/>
              <w:left w:val="nil"/>
              <w:bottom w:val="single" w:sz="4" w:space="0" w:color="auto"/>
              <w:right w:val="single" w:sz="4" w:space="0" w:color="auto"/>
            </w:tcBorders>
            <w:shd w:val="clear" w:color="000000" w:fill="FFFFFF"/>
            <w:vAlign w:val="bottom"/>
            <w:hideMark/>
          </w:tcPr>
          <w:p w14:paraId="151F5B7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6F03C9F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81D72C9"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E2F733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73</w:t>
            </w:r>
          </w:p>
        </w:tc>
        <w:tc>
          <w:tcPr>
            <w:tcW w:w="3129" w:type="dxa"/>
            <w:tcBorders>
              <w:top w:val="nil"/>
              <w:left w:val="nil"/>
              <w:bottom w:val="single" w:sz="4" w:space="0" w:color="auto"/>
              <w:right w:val="single" w:sz="4" w:space="0" w:color="auto"/>
            </w:tcBorders>
            <w:shd w:val="clear" w:color="000000" w:fill="FFFFFF"/>
            <w:vAlign w:val="bottom"/>
            <w:hideMark/>
          </w:tcPr>
          <w:p w14:paraId="3D644D6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Mocznik </w:t>
            </w:r>
          </w:p>
        </w:tc>
        <w:tc>
          <w:tcPr>
            <w:tcW w:w="7264" w:type="dxa"/>
            <w:tcBorders>
              <w:top w:val="nil"/>
              <w:left w:val="nil"/>
              <w:bottom w:val="single" w:sz="4" w:space="0" w:color="auto"/>
              <w:right w:val="single" w:sz="4" w:space="0" w:color="auto"/>
            </w:tcBorders>
            <w:shd w:val="clear" w:color="000000" w:fill="FFFFFF"/>
            <w:vAlign w:val="bottom"/>
            <w:hideMark/>
          </w:tcPr>
          <w:p w14:paraId="4BFAB11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≥99.5%, czysty, Numer CAS: 57-13-6</w:t>
            </w:r>
          </w:p>
        </w:tc>
        <w:tc>
          <w:tcPr>
            <w:tcW w:w="1584" w:type="dxa"/>
            <w:tcBorders>
              <w:top w:val="nil"/>
              <w:left w:val="nil"/>
              <w:bottom w:val="single" w:sz="4" w:space="0" w:color="auto"/>
              <w:right w:val="single" w:sz="4" w:space="0" w:color="auto"/>
            </w:tcBorders>
            <w:shd w:val="clear" w:color="000000" w:fill="FFFFFF"/>
            <w:vAlign w:val="bottom"/>
            <w:hideMark/>
          </w:tcPr>
          <w:p w14:paraId="6B68106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24910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5D8320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CC9375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74</w:t>
            </w:r>
          </w:p>
        </w:tc>
        <w:tc>
          <w:tcPr>
            <w:tcW w:w="3129" w:type="dxa"/>
            <w:tcBorders>
              <w:top w:val="nil"/>
              <w:left w:val="nil"/>
              <w:bottom w:val="single" w:sz="4" w:space="0" w:color="auto"/>
              <w:right w:val="single" w:sz="4" w:space="0" w:color="auto"/>
            </w:tcBorders>
            <w:shd w:val="clear" w:color="000000" w:fill="FFFFFF"/>
            <w:vAlign w:val="bottom"/>
            <w:hideMark/>
          </w:tcPr>
          <w:p w14:paraId="0E5C4EB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Peroksodisiarczan(VI) diamonu (APS) </w:t>
            </w:r>
          </w:p>
        </w:tc>
        <w:tc>
          <w:tcPr>
            <w:tcW w:w="7264" w:type="dxa"/>
            <w:tcBorders>
              <w:top w:val="nil"/>
              <w:left w:val="nil"/>
              <w:bottom w:val="single" w:sz="4" w:space="0" w:color="auto"/>
              <w:right w:val="single" w:sz="4" w:space="0" w:color="auto"/>
            </w:tcBorders>
            <w:shd w:val="clear" w:color="000000" w:fill="FFFFFF"/>
            <w:vAlign w:val="bottom"/>
            <w:hideMark/>
          </w:tcPr>
          <w:p w14:paraId="0645452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≥98%, ACS, Numer CAS: 7727-54-0</w:t>
            </w:r>
          </w:p>
        </w:tc>
        <w:tc>
          <w:tcPr>
            <w:tcW w:w="1584" w:type="dxa"/>
            <w:tcBorders>
              <w:top w:val="nil"/>
              <w:left w:val="nil"/>
              <w:bottom w:val="single" w:sz="4" w:space="0" w:color="auto"/>
              <w:right w:val="single" w:sz="4" w:space="0" w:color="auto"/>
            </w:tcBorders>
            <w:shd w:val="clear" w:color="000000" w:fill="FFFFFF"/>
            <w:vAlign w:val="bottom"/>
            <w:hideMark/>
          </w:tcPr>
          <w:p w14:paraId="2A7A041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25FBBEE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46DBE3D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20455F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75</w:t>
            </w:r>
          </w:p>
        </w:tc>
        <w:tc>
          <w:tcPr>
            <w:tcW w:w="3129" w:type="dxa"/>
            <w:tcBorders>
              <w:top w:val="nil"/>
              <w:left w:val="nil"/>
              <w:bottom w:val="single" w:sz="4" w:space="0" w:color="auto"/>
              <w:right w:val="single" w:sz="4" w:space="0" w:color="auto"/>
            </w:tcBorders>
            <w:shd w:val="clear" w:color="000000" w:fill="FFFFFF"/>
            <w:vAlign w:val="bottom"/>
            <w:hideMark/>
          </w:tcPr>
          <w:p w14:paraId="4B63B92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chlorek wapnia</w:t>
            </w:r>
          </w:p>
        </w:tc>
        <w:tc>
          <w:tcPr>
            <w:tcW w:w="7264" w:type="dxa"/>
            <w:tcBorders>
              <w:top w:val="nil"/>
              <w:left w:val="nil"/>
              <w:bottom w:val="single" w:sz="4" w:space="0" w:color="auto"/>
              <w:right w:val="single" w:sz="4" w:space="0" w:color="auto"/>
            </w:tcBorders>
            <w:shd w:val="clear" w:color="000000" w:fill="FFFFFF"/>
            <w:vAlign w:val="bottom"/>
            <w:hideMark/>
          </w:tcPr>
          <w:p w14:paraId="4BC2083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10043-52-4</w:t>
            </w:r>
          </w:p>
        </w:tc>
        <w:tc>
          <w:tcPr>
            <w:tcW w:w="1584" w:type="dxa"/>
            <w:tcBorders>
              <w:top w:val="nil"/>
              <w:left w:val="nil"/>
              <w:bottom w:val="single" w:sz="4" w:space="0" w:color="auto"/>
              <w:right w:val="single" w:sz="4" w:space="0" w:color="auto"/>
            </w:tcBorders>
            <w:shd w:val="clear" w:color="000000" w:fill="FFFFFF"/>
            <w:vAlign w:val="bottom"/>
            <w:hideMark/>
          </w:tcPr>
          <w:p w14:paraId="6DC329E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732AAA8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6571929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CBF916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76</w:t>
            </w:r>
          </w:p>
        </w:tc>
        <w:tc>
          <w:tcPr>
            <w:tcW w:w="3129" w:type="dxa"/>
            <w:tcBorders>
              <w:top w:val="nil"/>
              <w:left w:val="nil"/>
              <w:bottom w:val="single" w:sz="4" w:space="0" w:color="auto"/>
              <w:right w:val="single" w:sz="4" w:space="0" w:color="auto"/>
            </w:tcBorders>
            <w:shd w:val="clear" w:color="000000" w:fill="FFFFFF"/>
            <w:vAlign w:val="bottom"/>
            <w:hideMark/>
          </w:tcPr>
          <w:p w14:paraId="5C3928E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chlorek rubidu</w:t>
            </w:r>
          </w:p>
        </w:tc>
        <w:tc>
          <w:tcPr>
            <w:tcW w:w="7264" w:type="dxa"/>
            <w:tcBorders>
              <w:top w:val="nil"/>
              <w:left w:val="nil"/>
              <w:bottom w:val="single" w:sz="4" w:space="0" w:color="auto"/>
              <w:right w:val="single" w:sz="4" w:space="0" w:color="auto"/>
            </w:tcBorders>
            <w:shd w:val="clear" w:color="000000" w:fill="FFFFFF"/>
            <w:vAlign w:val="bottom"/>
            <w:hideMark/>
          </w:tcPr>
          <w:p w14:paraId="17E2164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7791-11-9</w:t>
            </w:r>
          </w:p>
        </w:tc>
        <w:tc>
          <w:tcPr>
            <w:tcW w:w="1584" w:type="dxa"/>
            <w:tcBorders>
              <w:top w:val="nil"/>
              <w:left w:val="nil"/>
              <w:bottom w:val="single" w:sz="4" w:space="0" w:color="auto"/>
              <w:right w:val="single" w:sz="4" w:space="0" w:color="auto"/>
            </w:tcBorders>
            <w:shd w:val="clear" w:color="000000" w:fill="FFFFFF"/>
            <w:vAlign w:val="bottom"/>
            <w:hideMark/>
          </w:tcPr>
          <w:p w14:paraId="577D9A2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vAlign w:val="bottom"/>
            <w:hideMark/>
          </w:tcPr>
          <w:p w14:paraId="088EB2E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9498D0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110B84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77</w:t>
            </w:r>
          </w:p>
        </w:tc>
        <w:tc>
          <w:tcPr>
            <w:tcW w:w="3129" w:type="dxa"/>
            <w:tcBorders>
              <w:top w:val="nil"/>
              <w:left w:val="nil"/>
              <w:bottom w:val="single" w:sz="4" w:space="0" w:color="auto"/>
              <w:right w:val="single" w:sz="4" w:space="0" w:color="auto"/>
            </w:tcBorders>
            <w:shd w:val="clear" w:color="000000" w:fill="FFFFFF"/>
            <w:vAlign w:val="bottom"/>
            <w:hideMark/>
          </w:tcPr>
          <w:p w14:paraId="097AD32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gliceryna</w:t>
            </w:r>
          </w:p>
        </w:tc>
        <w:tc>
          <w:tcPr>
            <w:tcW w:w="7264" w:type="dxa"/>
            <w:tcBorders>
              <w:top w:val="nil"/>
              <w:left w:val="nil"/>
              <w:bottom w:val="single" w:sz="4" w:space="0" w:color="auto"/>
              <w:right w:val="single" w:sz="4" w:space="0" w:color="auto"/>
            </w:tcBorders>
            <w:shd w:val="clear" w:color="000000" w:fill="FFFFFF"/>
            <w:vAlign w:val="bottom"/>
            <w:hideMark/>
          </w:tcPr>
          <w:p w14:paraId="4802C0E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 Numer CAS: 56-81-5</w:t>
            </w:r>
          </w:p>
        </w:tc>
        <w:tc>
          <w:tcPr>
            <w:tcW w:w="1584" w:type="dxa"/>
            <w:tcBorders>
              <w:top w:val="nil"/>
              <w:left w:val="nil"/>
              <w:bottom w:val="single" w:sz="4" w:space="0" w:color="auto"/>
              <w:right w:val="single" w:sz="4" w:space="0" w:color="auto"/>
            </w:tcBorders>
            <w:shd w:val="clear" w:color="000000" w:fill="FFFFFF"/>
            <w:vAlign w:val="bottom"/>
            <w:hideMark/>
          </w:tcPr>
          <w:p w14:paraId="2CAF39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594E3B6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2408D93"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5B3F84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78</w:t>
            </w:r>
          </w:p>
        </w:tc>
        <w:tc>
          <w:tcPr>
            <w:tcW w:w="3129" w:type="dxa"/>
            <w:tcBorders>
              <w:top w:val="nil"/>
              <w:left w:val="nil"/>
              <w:bottom w:val="single" w:sz="4" w:space="0" w:color="auto"/>
              <w:right w:val="single" w:sz="4" w:space="0" w:color="auto"/>
            </w:tcBorders>
            <w:shd w:val="clear" w:color="000000" w:fill="FFFFFF"/>
            <w:vAlign w:val="bottom"/>
            <w:hideMark/>
          </w:tcPr>
          <w:p w14:paraId="644847C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Indol</w:t>
            </w:r>
          </w:p>
        </w:tc>
        <w:tc>
          <w:tcPr>
            <w:tcW w:w="7264" w:type="dxa"/>
            <w:tcBorders>
              <w:top w:val="nil"/>
              <w:left w:val="nil"/>
              <w:bottom w:val="single" w:sz="4" w:space="0" w:color="auto"/>
              <w:right w:val="single" w:sz="4" w:space="0" w:color="auto"/>
            </w:tcBorders>
            <w:shd w:val="clear" w:color="000000" w:fill="FFFFFF"/>
            <w:vAlign w:val="bottom"/>
            <w:hideMark/>
          </w:tcPr>
          <w:p w14:paraId="43F69FE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120-72-9</w:t>
            </w:r>
          </w:p>
        </w:tc>
        <w:tc>
          <w:tcPr>
            <w:tcW w:w="1584" w:type="dxa"/>
            <w:tcBorders>
              <w:top w:val="nil"/>
              <w:left w:val="nil"/>
              <w:bottom w:val="single" w:sz="4" w:space="0" w:color="auto"/>
              <w:right w:val="single" w:sz="4" w:space="0" w:color="auto"/>
            </w:tcBorders>
            <w:shd w:val="clear" w:color="000000" w:fill="FFFFFF"/>
            <w:vAlign w:val="bottom"/>
            <w:hideMark/>
          </w:tcPr>
          <w:p w14:paraId="6760DEA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0A4B351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00C81F0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183E83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79</w:t>
            </w:r>
          </w:p>
        </w:tc>
        <w:tc>
          <w:tcPr>
            <w:tcW w:w="3129" w:type="dxa"/>
            <w:tcBorders>
              <w:top w:val="nil"/>
              <w:left w:val="nil"/>
              <w:bottom w:val="single" w:sz="4" w:space="0" w:color="auto"/>
              <w:right w:val="single" w:sz="4" w:space="0" w:color="auto"/>
            </w:tcBorders>
            <w:shd w:val="clear" w:color="000000" w:fill="FFFFFF"/>
            <w:vAlign w:val="bottom"/>
            <w:hideMark/>
          </w:tcPr>
          <w:p w14:paraId="3C6F649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kwas borowy </w:t>
            </w:r>
          </w:p>
        </w:tc>
        <w:tc>
          <w:tcPr>
            <w:tcW w:w="7264" w:type="dxa"/>
            <w:tcBorders>
              <w:top w:val="nil"/>
              <w:left w:val="nil"/>
              <w:bottom w:val="single" w:sz="4" w:space="0" w:color="auto"/>
              <w:right w:val="single" w:sz="4" w:space="0" w:color="auto"/>
            </w:tcBorders>
            <w:shd w:val="clear" w:color="000000" w:fill="FFFFFF"/>
            <w:vAlign w:val="bottom"/>
            <w:hideMark/>
          </w:tcPr>
          <w:p w14:paraId="1872B59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≥99.5%, ACS, Numer CAS: 10043-35-3</w:t>
            </w:r>
          </w:p>
        </w:tc>
        <w:tc>
          <w:tcPr>
            <w:tcW w:w="1584" w:type="dxa"/>
            <w:tcBorders>
              <w:top w:val="nil"/>
              <w:left w:val="nil"/>
              <w:bottom w:val="single" w:sz="4" w:space="0" w:color="auto"/>
              <w:right w:val="single" w:sz="4" w:space="0" w:color="auto"/>
            </w:tcBorders>
            <w:shd w:val="clear" w:color="000000" w:fill="FFFFFF"/>
            <w:vAlign w:val="bottom"/>
            <w:hideMark/>
          </w:tcPr>
          <w:p w14:paraId="03AD26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KG</w:t>
            </w:r>
          </w:p>
        </w:tc>
        <w:tc>
          <w:tcPr>
            <w:tcW w:w="787" w:type="dxa"/>
            <w:tcBorders>
              <w:top w:val="nil"/>
              <w:left w:val="nil"/>
              <w:bottom w:val="single" w:sz="4" w:space="0" w:color="auto"/>
              <w:right w:val="single" w:sz="4" w:space="0" w:color="auto"/>
            </w:tcBorders>
            <w:shd w:val="clear" w:color="000000" w:fill="FFFFFF"/>
            <w:vAlign w:val="bottom"/>
            <w:hideMark/>
          </w:tcPr>
          <w:p w14:paraId="249EF27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587D2B7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85A8BE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80</w:t>
            </w:r>
          </w:p>
        </w:tc>
        <w:tc>
          <w:tcPr>
            <w:tcW w:w="3129" w:type="dxa"/>
            <w:tcBorders>
              <w:top w:val="nil"/>
              <w:left w:val="nil"/>
              <w:bottom w:val="single" w:sz="4" w:space="0" w:color="auto"/>
              <w:right w:val="single" w:sz="4" w:space="0" w:color="auto"/>
            </w:tcBorders>
            <w:shd w:val="clear" w:color="000000" w:fill="FFFFFF"/>
            <w:vAlign w:val="bottom"/>
            <w:hideMark/>
          </w:tcPr>
          <w:p w14:paraId="64B5361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Chlorowodorek prokainy </w:t>
            </w:r>
          </w:p>
        </w:tc>
        <w:tc>
          <w:tcPr>
            <w:tcW w:w="7264" w:type="dxa"/>
            <w:tcBorders>
              <w:top w:val="nil"/>
              <w:left w:val="nil"/>
              <w:bottom w:val="single" w:sz="4" w:space="0" w:color="auto"/>
              <w:right w:val="single" w:sz="4" w:space="0" w:color="auto"/>
            </w:tcBorders>
            <w:shd w:val="clear" w:color="000000" w:fill="FFFFFF"/>
            <w:vAlign w:val="bottom"/>
            <w:hideMark/>
          </w:tcPr>
          <w:p w14:paraId="16E9FA2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 Numer CAS: 51-05-8</w:t>
            </w:r>
          </w:p>
        </w:tc>
        <w:tc>
          <w:tcPr>
            <w:tcW w:w="1584" w:type="dxa"/>
            <w:tcBorders>
              <w:top w:val="nil"/>
              <w:left w:val="nil"/>
              <w:bottom w:val="single" w:sz="4" w:space="0" w:color="auto"/>
              <w:right w:val="single" w:sz="4" w:space="0" w:color="auto"/>
            </w:tcBorders>
            <w:shd w:val="clear" w:color="000000" w:fill="FFFFFF"/>
            <w:vAlign w:val="bottom"/>
            <w:hideMark/>
          </w:tcPr>
          <w:p w14:paraId="292E4C7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G</w:t>
            </w:r>
          </w:p>
        </w:tc>
        <w:tc>
          <w:tcPr>
            <w:tcW w:w="787" w:type="dxa"/>
            <w:tcBorders>
              <w:top w:val="nil"/>
              <w:left w:val="nil"/>
              <w:bottom w:val="single" w:sz="4" w:space="0" w:color="auto"/>
              <w:right w:val="single" w:sz="4" w:space="0" w:color="auto"/>
            </w:tcBorders>
            <w:shd w:val="clear" w:color="000000" w:fill="FFFFFF"/>
            <w:vAlign w:val="bottom"/>
            <w:hideMark/>
          </w:tcPr>
          <w:p w14:paraId="7039123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FC0BB62"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4F9396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81</w:t>
            </w:r>
          </w:p>
        </w:tc>
        <w:tc>
          <w:tcPr>
            <w:tcW w:w="3129" w:type="dxa"/>
            <w:tcBorders>
              <w:top w:val="nil"/>
              <w:left w:val="nil"/>
              <w:bottom w:val="single" w:sz="4" w:space="0" w:color="auto"/>
              <w:right w:val="single" w:sz="4" w:space="0" w:color="auto"/>
            </w:tcBorders>
            <w:shd w:val="clear" w:color="000000" w:fill="FFFFFF"/>
            <w:vAlign w:val="bottom"/>
            <w:hideMark/>
          </w:tcPr>
          <w:p w14:paraId="781B7DE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N,N,N',N'-Tetrametyloetylenodiamina (TEMED)</w:t>
            </w:r>
          </w:p>
        </w:tc>
        <w:tc>
          <w:tcPr>
            <w:tcW w:w="7264" w:type="dxa"/>
            <w:tcBorders>
              <w:top w:val="nil"/>
              <w:left w:val="nil"/>
              <w:bottom w:val="single" w:sz="4" w:space="0" w:color="auto"/>
              <w:right w:val="single" w:sz="4" w:space="0" w:color="auto"/>
            </w:tcBorders>
            <w:shd w:val="clear" w:color="000000" w:fill="FFFFFF"/>
            <w:vAlign w:val="bottom"/>
            <w:hideMark/>
          </w:tcPr>
          <w:p w14:paraId="51B9F92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110-18-9</w:t>
            </w:r>
          </w:p>
        </w:tc>
        <w:tc>
          <w:tcPr>
            <w:tcW w:w="1584" w:type="dxa"/>
            <w:tcBorders>
              <w:top w:val="nil"/>
              <w:left w:val="nil"/>
              <w:bottom w:val="single" w:sz="4" w:space="0" w:color="auto"/>
              <w:right w:val="single" w:sz="4" w:space="0" w:color="auto"/>
            </w:tcBorders>
            <w:shd w:val="clear" w:color="000000" w:fill="FFFFFF"/>
            <w:vAlign w:val="bottom"/>
            <w:hideMark/>
          </w:tcPr>
          <w:p w14:paraId="66995A1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ML</w:t>
            </w:r>
          </w:p>
        </w:tc>
        <w:tc>
          <w:tcPr>
            <w:tcW w:w="787" w:type="dxa"/>
            <w:tcBorders>
              <w:top w:val="nil"/>
              <w:left w:val="nil"/>
              <w:bottom w:val="single" w:sz="4" w:space="0" w:color="auto"/>
              <w:right w:val="single" w:sz="4" w:space="0" w:color="auto"/>
            </w:tcBorders>
            <w:shd w:val="clear" w:color="000000" w:fill="FFFFFF"/>
            <w:vAlign w:val="bottom"/>
            <w:hideMark/>
          </w:tcPr>
          <w:p w14:paraId="2420F76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16D8C5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FE16D9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82</w:t>
            </w:r>
          </w:p>
        </w:tc>
        <w:tc>
          <w:tcPr>
            <w:tcW w:w="3129" w:type="dxa"/>
            <w:tcBorders>
              <w:top w:val="nil"/>
              <w:left w:val="nil"/>
              <w:bottom w:val="single" w:sz="4" w:space="0" w:color="auto"/>
              <w:right w:val="single" w:sz="4" w:space="0" w:color="auto"/>
            </w:tcBorders>
            <w:shd w:val="clear" w:color="000000" w:fill="FFFFFF"/>
            <w:vAlign w:val="bottom"/>
            <w:hideMark/>
          </w:tcPr>
          <w:p w14:paraId="46358B7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2-morfolinoetylosulfonowy, hydrat</w:t>
            </w:r>
          </w:p>
        </w:tc>
        <w:tc>
          <w:tcPr>
            <w:tcW w:w="7264" w:type="dxa"/>
            <w:tcBorders>
              <w:top w:val="nil"/>
              <w:left w:val="nil"/>
              <w:bottom w:val="single" w:sz="4" w:space="0" w:color="auto"/>
              <w:right w:val="single" w:sz="4" w:space="0" w:color="auto"/>
            </w:tcBorders>
            <w:shd w:val="clear" w:color="000000" w:fill="FFFFFF"/>
            <w:vAlign w:val="bottom"/>
            <w:hideMark/>
          </w:tcPr>
          <w:p w14:paraId="0F34907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 Ultraczysty, Numer CAS: 145224-94-8</w:t>
            </w:r>
          </w:p>
        </w:tc>
        <w:tc>
          <w:tcPr>
            <w:tcW w:w="1584" w:type="dxa"/>
            <w:tcBorders>
              <w:top w:val="nil"/>
              <w:left w:val="nil"/>
              <w:bottom w:val="single" w:sz="4" w:space="0" w:color="auto"/>
              <w:right w:val="single" w:sz="4" w:space="0" w:color="auto"/>
            </w:tcBorders>
            <w:shd w:val="clear" w:color="000000" w:fill="FFFFFF"/>
            <w:vAlign w:val="bottom"/>
            <w:hideMark/>
          </w:tcPr>
          <w:p w14:paraId="6E96706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vAlign w:val="bottom"/>
            <w:hideMark/>
          </w:tcPr>
          <w:p w14:paraId="1C631D7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F27BC6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2AD84A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83</w:t>
            </w:r>
          </w:p>
        </w:tc>
        <w:tc>
          <w:tcPr>
            <w:tcW w:w="3129" w:type="dxa"/>
            <w:tcBorders>
              <w:top w:val="nil"/>
              <w:left w:val="nil"/>
              <w:bottom w:val="single" w:sz="4" w:space="0" w:color="auto"/>
              <w:right w:val="single" w:sz="4" w:space="0" w:color="auto"/>
            </w:tcBorders>
            <w:shd w:val="clear" w:color="000000" w:fill="FFFFFF"/>
            <w:vAlign w:val="bottom"/>
            <w:hideMark/>
          </w:tcPr>
          <w:p w14:paraId="55C5CF9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sól sodowa laurylosarkozyny </w:t>
            </w:r>
          </w:p>
        </w:tc>
        <w:tc>
          <w:tcPr>
            <w:tcW w:w="7264" w:type="dxa"/>
            <w:tcBorders>
              <w:top w:val="nil"/>
              <w:left w:val="nil"/>
              <w:bottom w:val="single" w:sz="4" w:space="0" w:color="auto"/>
              <w:right w:val="single" w:sz="4" w:space="0" w:color="auto"/>
            </w:tcBorders>
            <w:shd w:val="clear" w:color="000000" w:fill="FFFFFF"/>
            <w:vAlign w:val="bottom"/>
            <w:hideMark/>
          </w:tcPr>
          <w:p w14:paraId="20BA533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≥94%, Numer CAS: 137-16-6</w:t>
            </w:r>
          </w:p>
        </w:tc>
        <w:tc>
          <w:tcPr>
            <w:tcW w:w="1584" w:type="dxa"/>
            <w:tcBorders>
              <w:top w:val="nil"/>
              <w:left w:val="nil"/>
              <w:bottom w:val="single" w:sz="4" w:space="0" w:color="auto"/>
              <w:right w:val="single" w:sz="4" w:space="0" w:color="auto"/>
            </w:tcBorders>
            <w:shd w:val="clear" w:color="000000" w:fill="FFFFFF"/>
            <w:vAlign w:val="bottom"/>
            <w:hideMark/>
          </w:tcPr>
          <w:p w14:paraId="271730A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vAlign w:val="bottom"/>
            <w:hideMark/>
          </w:tcPr>
          <w:p w14:paraId="3FB2886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DF5D92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2744F6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84</w:t>
            </w:r>
          </w:p>
        </w:tc>
        <w:tc>
          <w:tcPr>
            <w:tcW w:w="3129" w:type="dxa"/>
            <w:tcBorders>
              <w:top w:val="nil"/>
              <w:left w:val="nil"/>
              <w:bottom w:val="single" w:sz="4" w:space="0" w:color="auto"/>
              <w:right w:val="single" w:sz="4" w:space="0" w:color="auto"/>
            </w:tcBorders>
            <w:shd w:val="clear" w:color="000000" w:fill="FFFFFF"/>
            <w:vAlign w:val="bottom"/>
            <w:hideMark/>
          </w:tcPr>
          <w:p w14:paraId="7316156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Toluen </w:t>
            </w:r>
          </w:p>
        </w:tc>
        <w:tc>
          <w:tcPr>
            <w:tcW w:w="7264" w:type="dxa"/>
            <w:tcBorders>
              <w:top w:val="nil"/>
              <w:left w:val="nil"/>
              <w:bottom w:val="single" w:sz="4" w:space="0" w:color="auto"/>
              <w:right w:val="single" w:sz="4" w:space="0" w:color="auto"/>
            </w:tcBorders>
            <w:shd w:val="clear" w:color="000000" w:fill="FFFFFF"/>
            <w:vAlign w:val="bottom"/>
            <w:hideMark/>
          </w:tcPr>
          <w:p w14:paraId="313FF04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≥99.5%, ACS, reagent analityczny, Numer CAS: 108-88-3</w:t>
            </w:r>
          </w:p>
        </w:tc>
        <w:tc>
          <w:tcPr>
            <w:tcW w:w="1584" w:type="dxa"/>
            <w:tcBorders>
              <w:top w:val="nil"/>
              <w:left w:val="nil"/>
              <w:bottom w:val="single" w:sz="4" w:space="0" w:color="auto"/>
              <w:right w:val="single" w:sz="4" w:space="0" w:color="auto"/>
            </w:tcBorders>
            <w:shd w:val="clear" w:color="000000" w:fill="FFFFFF"/>
            <w:vAlign w:val="bottom"/>
            <w:hideMark/>
          </w:tcPr>
          <w:p w14:paraId="7CF0AD6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38382BD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4FA12E9"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B987A0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85</w:t>
            </w:r>
          </w:p>
        </w:tc>
        <w:tc>
          <w:tcPr>
            <w:tcW w:w="3129" w:type="dxa"/>
            <w:tcBorders>
              <w:top w:val="nil"/>
              <w:left w:val="nil"/>
              <w:bottom w:val="single" w:sz="4" w:space="0" w:color="auto"/>
              <w:right w:val="single" w:sz="4" w:space="0" w:color="auto"/>
            </w:tcBorders>
            <w:shd w:val="clear" w:color="000000" w:fill="FFFFFF"/>
            <w:vAlign w:val="bottom"/>
            <w:hideMark/>
          </w:tcPr>
          <w:p w14:paraId="638EDFC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Nadtlenek wodoru  (Perhydrol) </w:t>
            </w:r>
          </w:p>
        </w:tc>
        <w:tc>
          <w:tcPr>
            <w:tcW w:w="7264" w:type="dxa"/>
            <w:tcBorders>
              <w:top w:val="nil"/>
              <w:left w:val="nil"/>
              <w:bottom w:val="single" w:sz="4" w:space="0" w:color="auto"/>
              <w:right w:val="single" w:sz="4" w:space="0" w:color="auto"/>
            </w:tcBorders>
            <w:shd w:val="clear" w:color="000000" w:fill="FFFFFF"/>
            <w:vAlign w:val="bottom"/>
            <w:hideMark/>
          </w:tcPr>
          <w:p w14:paraId="7B2B785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 stabilizowany,odczynnik dla biotechnologii, reagent analityczny, Numer CAS: 7722-84-1</w:t>
            </w:r>
          </w:p>
        </w:tc>
        <w:tc>
          <w:tcPr>
            <w:tcW w:w="1584" w:type="dxa"/>
            <w:tcBorders>
              <w:top w:val="nil"/>
              <w:left w:val="nil"/>
              <w:bottom w:val="single" w:sz="4" w:space="0" w:color="auto"/>
              <w:right w:val="single" w:sz="4" w:space="0" w:color="auto"/>
            </w:tcBorders>
            <w:shd w:val="clear" w:color="000000" w:fill="FFFFFF"/>
            <w:vAlign w:val="bottom"/>
            <w:hideMark/>
          </w:tcPr>
          <w:p w14:paraId="4DB53B8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 ML</w:t>
            </w:r>
          </w:p>
        </w:tc>
        <w:tc>
          <w:tcPr>
            <w:tcW w:w="787" w:type="dxa"/>
            <w:tcBorders>
              <w:top w:val="nil"/>
              <w:left w:val="nil"/>
              <w:bottom w:val="single" w:sz="4" w:space="0" w:color="auto"/>
              <w:right w:val="single" w:sz="4" w:space="0" w:color="auto"/>
            </w:tcBorders>
            <w:shd w:val="clear" w:color="000000" w:fill="FFFFFF"/>
            <w:vAlign w:val="bottom"/>
            <w:hideMark/>
          </w:tcPr>
          <w:p w14:paraId="3CBACA9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091A3F92"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8B4669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86</w:t>
            </w:r>
          </w:p>
        </w:tc>
        <w:tc>
          <w:tcPr>
            <w:tcW w:w="3129" w:type="dxa"/>
            <w:tcBorders>
              <w:top w:val="nil"/>
              <w:left w:val="nil"/>
              <w:bottom w:val="single" w:sz="4" w:space="0" w:color="auto"/>
              <w:right w:val="single" w:sz="4" w:space="0" w:color="auto"/>
            </w:tcBorders>
            <w:shd w:val="clear" w:color="000000" w:fill="FFFFFF"/>
            <w:vAlign w:val="bottom"/>
            <w:hideMark/>
          </w:tcPr>
          <w:p w14:paraId="6BD1531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Rybonukleaza A </w:t>
            </w:r>
          </w:p>
        </w:tc>
        <w:tc>
          <w:tcPr>
            <w:tcW w:w="7264" w:type="dxa"/>
            <w:tcBorders>
              <w:top w:val="nil"/>
              <w:left w:val="nil"/>
              <w:bottom w:val="single" w:sz="4" w:space="0" w:color="auto"/>
              <w:right w:val="single" w:sz="4" w:space="0" w:color="auto"/>
            </w:tcBorders>
            <w:shd w:val="clear" w:color="000000" w:fill="FFFFFF"/>
            <w:vAlign w:val="bottom"/>
            <w:hideMark/>
          </w:tcPr>
          <w:p w14:paraId="586CE90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10 mg/ml wodny roztwór, Numer CAS: 9001-99-4</w:t>
            </w:r>
          </w:p>
        </w:tc>
        <w:tc>
          <w:tcPr>
            <w:tcW w:w="1584" w:type="dxa"/>
            <w:tcBorders>
              <w:top w:val="nil"/>
              <w:left w:val="nil"/>
              <w:bottom w:val="single" w:sz="4" w:space="0" w:color="auto"/>
              <w:right w:val="single" w:sz="4" w:space="0" w:color="auto"/>
            </w:tcBorders>
            <w:shd w:val="clear" w:color="000000" w:fill="FFFFFF"/>
            <w:vAlign w:val="bottom"/>
            <w:hideMark/>
          </w:tcPr>
          <w:p w14:paraId="6534856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ML</w:t>
            </w:r>
          </w:p>
        </w:tc>
        <w:tc>
          <w:tcPr>
            <w:tcW w:w="787" w:type="dxa"/>
            <w:tcBorders>
              <w:top w:val="nil"/>
              <w:left w:val="nil"/>
              <w:bottom w:val="single" w:sz="4" w:space="0" w:color="auto"/>
              <w:right w:val="single" w:sz="4" w:space="0" w:color="auto"/>
            </w:tcBorders>
            <w:shd w:val="clear" w:color="000000" w:fill="FFFFFF"/>
            <w:vAlign w:val="bottom"/>
            <w:hideMark/>
          </w:tcPr>
          <w:p w14:paraId="2AEE0A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1FBB4D3C"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F05744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87</w:t>
            </w:r>
          </w:p>
        </w:tc>
        <w:tc>
          <w:tcPr>
            <w:tcW w:w="3129" w:type="dxa"/>
            <w:tcBorders>
              <w:top w:val="nil"/>
              <w:left w:val="nil"/>
              <w:bottom w:val="single" w:sz="4" w:space="0" w:color="auto"/>
              <w:right w:val="single" w:sz="4" w:space="0" w:color="auto"/>
            </w:tcBorders>
            <w:shd w:val="clear" w:color="000000" w:fill="FFFFFF"/>
            <w:vAlign w:val="bottom"/>
            <w:hideMark/>
          </w:tcPr>
          <w:p w14:paraId="1F4B3A3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Wodzian dichlorku wiogenu metylu</w:t>
            </w:r>
          </w:p>
        </w:tc>
        <w:tc>
          <w:tcPr>
            <w:tcW w:w="7264" w:type="dxa"/>
            <w:tcBorders>
              <w:top w:val="nil"/>
              <w:left w:val="nil"/>
              <w:bottom w:val="single" w:sz="4" w:space="0" w:color="auto"/>
              <w:right w:val="single" w:sz="4" w:space="0" w:color="auto"/>
            </w:tcBorders>
            <w:shd w:val="clear" w:color="000000" w:fill="FFFFFF"/>
            <w:vAlign w:val="bottom"/>
            <w:hideMark/>
          </w:tcPr>
          <w:p w14:paraId="24040E3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parakwat, odczynnik dla biotechnologii, 98%,  Numer CAS: 75365-73-0</w:t>
            </w:r>
          </w:p>
        </w:tc>
        <w:tc>
          <w:tcPr>
            <w:tcW w:w="1584" w:type="dxa"/>
            <w:tcBorders>
              <w:top w:val="nil"/>
              <w:left w:val="nil"/>
              <w:bottom w:val="single" w:sz="4" w:space="0" w:color="auto"/>
              <w:right w:val="single" w:sz="4" w:space="0" w:color="auto"/>
            </w:tcBorders>
            <w:shd w:val="clear" w:color="000000" w:fill="FFFFFF"/>
            <w:vAlign w:val="bottom"/>
            <w:hideMark/>
          </w:tcPr>
          <w:p w14:paraId="4AA2387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G</w:t>
            </w:r>
          </w:p>
        </w:tc>
        <w:tc>
          <w:tcPr>
            <w:tcW w:w="787" w:type="dxa"/>
            <w:tcBorders>
              <w:top w:val="nil"/>
              <w:left w:val="nil"/>
              <w:bottom w:val="single" w:sz="4" w:space="0" w:color="auto"/>
              <w:right w:val="single" w:sz="4" w:space="0" w:color="auto"/>
            </w:tcBorders>
            <w:shd w:val="clear" w:color="000000" w:fill="FFFFFF"/>
            <w:vAlign w:val="bottom"/>
            <w:hideMark/>
          </w:tcPr>
          <w:p w14:paraId="4C5CD09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7888CF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F8EAD7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88</w:t>
            </w:r>
          </w:p>
        </w:tc>
        <w:tc>
          <w:tcPr>
            <w:tcW w:w="3129" w:type="dxa"/>
            <w:tcBorders>
              <w:top w:val="nil"/>
              <w:left w:val="nil"/>
              <w:bottom w:val="single" w:sz="4" w:space="0" w:color="auto"/>
              <w:right w:val="single" w:sz="4" w:space="0" w:color="auto"/>
            </w:tcBorders>
            <w:shd w:val="clear" w:color="000000" w:fill="FFFFFF"/>
            <w:vAlign w:val="bottom"/>
            <w:hideMark/>
          </w:tcPr>
          <w:p w14:paraId="4FA2AB8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Aceton</w:t>
            </w:r>
          </w:p>
        </w:tc>
        <w:tc>
          <w:tcPr>
            <w:tcW w:w="7264" w:type="dxa"/>
            <w:tcBorders>
              <w:top w:val="nil"/>
              <w:left w:val="nil"/>
              <w:bottom w:val="single" w:sz="4" w:space="0" w:color="auto"/>
              <w:right w:val="single" w:sz="4" w:space="0" w:color="auto"/>
            </w:tcBorders>
            <w:shd w:val="clear" w:color="000000" w:fill="FFFFFF"/>
            <w:vAlign w:val="bottom"/>
            <w:hideMark/>
          </w:tcPr>
          <w:p w14:paraId="2E9BB53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≥99.5%, Numer CAS: 67-64-1</w:t>
            </w:r>
          </w:p>
        </w:tc>
        <w:tc>
          <w:tcPr>
            <w:tcW w:w="1584" w:type="dxa"/>
            <w:tcBorders>
              <w:top w:val="nil"/>
              <w:left w:val="nil"/>
              <w:bottom w:val="single" w:sz="4" w:space="0" w:color="auto"/>
              <w:right w:val="single" w:sz="4" w:space="0" w:color="auto"/>
            </w:tcBorders>
            <w:shd w:val="clear" w:color="000000" w:fill="FFFFFF"/>
            <w:vAlign w:val="bottom"/>
            <w:hideMark/>
          </w:tcPr>
          <w:p w14:paraId="2683978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215A129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50D7769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C95A71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89</w:t>
            </w:r>
          </w:p>
        </w:tc>
        <w:tc>
          <w:tcPr>
            <w:tcW w:w="3129" w:type="dxa"/>
            <w:tcBorders>
              <w:top w:val="nil"/>
              <w:left w:val="nil"/>
              <w:bottom w:val="single" w:sz="4" w:space="0" w:color="auto"/>
              <w:right w:val="single" w:sz="4" w:space="0" w:color="auto"/>
            </w:tcBorders>
            <w:shd w:val="clear" w:color="000000" w:fill="FFFFFF"/>
            <w:vAlign w:val="bottom"/>
            <w:hideMark/>
          </w:tcPr>
          <w:p w14:paraId="44380D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Etanol absolutny </w:t>
            </w:r>
          </w:p>
        </w:tc>
        <w:tc>
          <w:tcPr>
            <w:tcW w:w="7264" w:type="dxa"/>
            <w:tcBorders>
              <w:top w:val="nil"/>
              <w:left w:val="nil"/>
              <w:bottom w:val="single" w:sz="4" w:space="0" w:color="auto"/>
              <w:right w:val="single" w:sz="4" w:space="0" w:color="auto"/>
            </w:tcBorders>
            <w:shd w:val="clear" w:color="000000" w:fill="FFFFFF"/>
            <w:vAlign w:val="bottom"/>
            <w:hideMark/>
          </w:tcPr>
          <w:p w14:paraId="357443E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≥99.8%, czysty reagent analityczny, Numer CAS: 64-17-5</w:t>
            </w:r>
          </w:p>
        </w:tc>
        <w:tc>
          <w:tcPr>
            <w:tcW w:w="1584" w:type="dxa"/>
            <w:tcBorders>
              <w:top w:val="nil"/>
              <w:left w:val="nil"/>
              <w:bottom w:val="single" w:sz="4" w:space="0" w:color="auto"/>
              <w:right w:val="single" w:sz="4" w:space="0" w:color="auto"/>
            </w:tcBorders>
            <w:shd w:val="clear" w:color="000000" w:fill="FFFFFF"/>
            <w:vAlign w:val="bottom"/>
            <w:hideMark/>
          </w:tcPr>
          <w:p w14:paraId="485E0E3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5B546C9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18E46B9A"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4ED312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90</w:t>
            </w:r>
          </w:p>
        </w:tc>
        <w:tc>
          <w:tcPr>
            <w:tcW w:w="3129" w:type="dxa"/>
            <w:tcBorders>
              <w:top w:val="nil"/>
              <w:left w:val="nil"/>
              <w:bottom w:val="single" w:sz="4" w:space="0" w:color="auto"/>
              <w:right w:val="single" w:sz="4" w:space="0" w:color="auto"/>
            </w:tcBorders>
            <w:shd w:val="clear" w:color="000000" w:fill="FFFFFF"/>
            <w:vAlign w:val="bottom"/>
            <w:hideMark/>
          </w:tcPr>
          <w:p w14:paraId="4A82BA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Metanol </w:t>
            </w:r>
          </w:p>
        </w:tc>
        <w:tc>
          <w:tcPr>
            <w:tcW w:w="7264" w:type="dxa"/>
            <w:tcBorders>
              <w:top w:val="nil"/>
              <w:left w:val="nil"/>
              <w:bottom w:val="single" w:sz="4" w:space="0" w:color="auto"/>
              <w:right w:val="single" w:sz="4" w:space="0" w:color="auto"/>
            </w:tcBorders>
            <w:shd w:val="clear" w:color="000000" w:fill="FFFFFF"/>
            <w:vAlign w:val="bottom"/>
            <w:hideMark/>
          </w:tcPr>
          <w:p w14:paraId="143E348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≥99.5%, Numer CAS: 67-56-1</w:t>
            </w:r>
          </w:p>
        </w:tc>
        <w:tc>
          <w:tcPr>
            <w:tcW w:w="1584" w:type="dxa"/>
            <w:tcBorders>
              <w:top w:val="nil"/>
              <w:left w:val="nil"/>
              <w:bottom w:val="single" w:sz="4" w:space="0" w:color="auto"/>
              <w:right w:val="single" w:sz="4" w:space="0" w:color="auto"/>
            </w:tcBorders>
            <w:shd w:val="clear" w:color="000000" w:fill="FFFFFF"/>
            <w:vAlign w:val="bottom"/>
            <w:hideMark/>
          </w:tcPr>
          <w:p w14:paraId="31715BC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L</w:t>
            </w:r>
          </w:p>
        </w:tc>
        <w:tc>
          <w:tcPr>
            <w:tcW w:w="787" w:type="dxa"/>
            <w:tcBorders>
              <w:top w:val="nil"/>
              <w:left w:val="nil"/>
              <w:bottom w:val="single" w:sz="4" w:space="0" w:color="auto"/>
              <w:right w:val="single" w:sz="4" w:space="0" w:color="auto"/>
            </w:tcBorders>
            <w:shd w:val="clear" w:color="000000" w:fill="FFFFFF"/>
            <w:vAlign w:val="bottom"/>
            <w:hideMark/>
          </w:tcPr>
          <w:p w14:paraId="64D9F6F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4529C8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E00AED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91</w:t>
            </w:r>
          </w:p>
        </w:tc>
        <w:tc>
          <w:tcPr>
            <w:tcW w:w="3129" w:type="dxa"/>
            <w:tcBorders>
              <w:top w:val="nil"/>
              <w:left w:val="nil"/>
              <w:bottom w:val="single" w:sz="4" w:space="0" w:color="auto"/>
              <w:right w:val="single" w:sz="4" w:space="0" w:color="auto"/>
            </w:tcBorders>
            <w:shd w:val="clear" w:color="000000" w:fill="FFFFFF"/>
            <w:vAlign w:val="bottom"/>
            <w:hideMark/>
          </w:tcPr>
          <w:p w14:paraId="4B3F406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octowy</w:t>
            </w:r>
          </w:p>
        </w:tc>
        <w:tc>
          <w:tcPr>
            <w:tcW w:w="7264" w:type="dxa"/>
            <w:tcBorders>
              <w:top w:val="nil"/>
              <w:left w:val="nil"/>
              <w:bottom w:val="single" w:sz="4" w:space="0" w:color="auto"/>
              <w:right w:val="single" w:sz="4" w:space="0" w:color="auto"/>
            </w:tcBorders>
            <w:shd w:val="clear" w:color="000000" w:fill="FFFFFF"/>
            <w:vAlign w:val="bottom"/>
            <w:hideMark/>
          </w:tcPr>
          <w:p w14:paraId="5497476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99-100%, Numer CAS: 64-19-7</w:t>
            </w:r>
          </w:p>
        </w:tc>
        <w:tc>
          <w:tcPr>
            <w:tcW w:w="1584" w:type="dxa"/>
            <w:tcBorders>
              <w:top w:val="nil"/>
              <w:left w:val="nil"/>
              <w:bottom w:val="single" w:sz="4" w:space="0" w:color="auto"/>
              <w:right w:val="single" w:sz="4" w:space="0" w:color="auto"/>
            </w:tcBorders>
            <w:shd w:val="clear" w:color="000000" w:fill="FFFFFF"/>
            <w:vAlign w:val="bottom"/>
            <w:hideMark/>
          </w:tcPr>
          <w:p w14:paraId="4A9BF26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5BAFDA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678DB87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04B1A1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92</w:t>
            </w:r>
          </w:p>
        </w:tc>
        <w:tc>
          <w:tcPr>
            <w:tcW w:w="3129" w:type="dxa"/>
            <w:tcBorders>
              <w:top w:val="nil"/>
              <w:left w:val="nil"/>
              <w:bottom w:val="single" w:sz="4" w:space="0" w:color="auto"/>
              <w:right w:val="single" w:sz="4" w:space="0" w:color="auto"/>
            </w:tcBorders>
            <w:shd w:val="clear" w:color="000000" w:fill="FFFFFF"/>
            <w:noWrap/>
            <w:vAlign w:val="bottom"/>
            <w:hideMark/>
          </w:tcPr>
          <w:p w14:paraId="0C34CFA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2,2'-bipirydyna</w:t>
            </w:r>
          </w:p>
        </w:tc>
        <w:tc>
          <w:tcPr>
            <w:tcW w:w="7264" w:type="dxa"/>
            <w:tcBorders>
              <w:top w:val="nil"/>
              <w:left w:val="nil"/>
              <w:bottom w:val="single" w:sz="4" w:space="0" w:color="auto"/>
              <w:right w:val="single" w:sz="4" w:space="0" w:color="auto"/>
            </w:tcBorders>
            <w:shd w:val="clear" w:color="000000" w:fill="FFFFFF"/>
            <w:vAlign w:val="bottom"/>
            <w:hideMark/>
          </w:tcPr>
          <w:p w14:paraId="610F17B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≥99.5%, proszek, Numer CAS: 366-18-7</w:t>
            </w:r>
          </w:p>
        </w:tc>
        <w:tc>
          <w:tcPr>
            <w:tcW w:w="1584" w:type="dxa"/>
            <w:tcBorders>
              <w:top w:val="nil"/>
              <w:left w:val="nil"/>
              <w:bottom w:val="single" w:sz="4" w:space="0" w:color="auto"/>
              <w:right w:val="single" w:sz="4" w:space="0" w:color="auto"/>
            </w:tcBorders>
            <w:shd w:val="clear" w:color="000000" w:fill="FFFFFF"/>
            <w:noWrap/>
            <w:vAlign w:val="bottom"/>
            <w:hideMark/>
          </w:tcPr>
          <w:p w14:paraId="1B0D2CA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noWrap/>
            <w:vAlign w:val="bottom"/>
            <w:hideMark/>
          </w:tcPr>
          <w:p w14:paraId="637701D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83AC5DA"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2EBA67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93</w:t>
            </w:r>
          </w:p>
        </w:tc>
        <w:tc>
          <w:tcPr>
            <w:tcW w:w="3129" w:type="dxa"/>
            <w:tcBorders>
              <w:top w:val="nil"/>
              <w:left w:val="nil"/>
              <w:bottom w:val="single" w:sz="4" w:space="0" w:color="auto"/>
              <w:right w:val="single" w:sz="4" w:space="0" w:color="auto"/>
            </w:tcBorders>
            <w:shd w:val="clear" w:color="000000" w:fill="FFFFFF"/>
            <w:noWrap/>
            <w:vAlign w:val="bottom"/>
            <w:hideMark/>
          </w:tcPr>
          <w:p w14:paraId="655F1F1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skrobia rozpuszczalna</w:t>
            </w:r>
          </w:p>
        </w:tc>
        <w:tc>
          <w:tcPr>
            <w:tcW w:w="7264" w:type="dxa"/>
            <w:tcBorders>
              <w:top w:val="nil"/>
              <w:left w:val="nil"/>
              <w:bottom w:val="single" w:sz="4" w:space="0" w:color="auto"/>
              <w:right w:val="single" w:sz="4" w:space="0" w:color="auto"/>
            </w:tcBorders>
            <w:shd w:val="clear" w:color="000000" w:fill="FFFFFF"/>
            <w:vAlign w:val="bottom"/>
            <w:hideMark/>
          </w:tcPr>
          <w:p w14:paraId="0D39989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9005-84-9</w:t>
            </w:r>
          </w:p>
        </w:tc>
        <w:tc>
          <w:tcPr>
            <w:tcW w:w="1584" w:type="dxa"/>
            <w:tcBorders>
              <w:top w:val="nil"/>
              <w:left w:val="nil"/>
              <w:bottom w:val="single" w:sz="4" w:space="0" w:color="auto"/>
              <w:right w:val="single" w:sz="4" w:space="0" w:color="auto"/>
            </w:tcBorders>
            <w:shd w:val="clear" w:color="000000" w:fill="FFFFFF"/>
            <w:noWrap/>
            <w:vAlign w:val="bottom"/>
            <w:hideMark/>
          </w:tcPr>
          <w:p w14:paraId="759FB8C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 G</w:t>
            </w:r>
          </w:p>
        </w:tc>
        <w:tc>
          <w:tcPr>
            <w:tcW w:w="787" w:type="dxa"/>
            <w:tcBorders>
              <w:top w:val="nil"/>
              <w:left w:val="nil"/>
              <w:bottom w:val="single" w:sz="4" w:space="0" w:color="auto"/>
              <w:right w:val="single" w:sz="4" w:space="0" w:color="auto"/>
            </w:tcBorders>
            <w:shd w:val="clear" w:color="000000" w:fill="FFFFFF"/>
            <w:noWrap/>
            <w:vAlign w:val="bottom"/>
            <w:hideMark/>
          </w:tcPr>
          <w:p w14:paraId="0B7FFDD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049BCC27"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1C5096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94</w:t>
            </w:r>
          </w:p>
        </w:tc>
        <w:tc>
          <w:tcPr>
            <w:tcW w:w="3129" w:type="dxa"/>
            <w:tcBorders>
              <w:top w:val="nil"/>
              <w:left w:val="nil"/>
              <w:bottom w:val="single" w:sz="4" w:space="0" w:color="auto"/>
              <w:right w:val="single" w:sz="4" w:space="0" w:color="auto"/>
            </w:tcBorders>
            <w:shd w:val="clear" w:color="000000" w:fill="FFFFFF"/>
            <w:vAlign w:val="bottom"/>
            <w:hideMark/>
          </w:tcPr>
          <w:p w14:paraId="4F055EC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Kwas ortofosforowy(V) </w:t>
            </w:r>
          </w:p>
        </w:tc>
        <w:tc>
          <w:tcPr>
            <w:tcW w:w="7264" w:type="dxa"/>
            <w:tcBorders>
              <w:top w:val="nil"/>
              <w:left w:val="nil"/>
              <w:bottom w:val="single" w:sz="4" w:space="0" w:color="auto"/>
              <w:right w:val="single" w:sz="4" w:space="0" w:color="auto"/>
            </w:tcBorders>
            <w:shd w:val="clear" w:color="000000" w:fill="FFFFFF"/>
            <w:vAlign w:val="bottom"/>
            <w:hideMark/>
          </w:tcPr>
          <w:p w14:paraId="1C12976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≥85% reagent analityczny, Numer CAS: 7664-38-2</w:t>
            </w:r>
          </w:p>
        </w:tc>
        <w:tc>
          <w:tcPr>
            <w:tcW w:w="1584" w:type="dxa"/>
            <w:tcBorders>
              <w:top w:val="nil"/>
              <w:left w:val="nil"/>
              <w:bottom w:val="single" w:sz="4" w:space="0" w:color="auto"/>
              <w:right w:val="single" w:sz="4" w:space="0" w:color="auto"/>
            </w:tcBorders>
            <w:shd w:val="clear" w:color="000000" w:fill="FFFFFF"/>
            <w:vAlign w:val="bottom"/>
            <w:hideMark/>
          </w:tcPr>
          <w:p w14:paraId="1047BF8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vAlign w:val="bottom"/>
            <w:hideMark/>
          </w:tcPr>
          <w:p w14:paraId="2B8ABDB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A362F08"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7F3A50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95</w:t>
            </w:r>
          </w:p>
        </w:tc>
        <w:tc>
          <w:tcPr>
            <w:tcW w:w="3129" w:type="dxa"/>
            <w:tcBorders>
              <w:top w:val="nil"/>
              <w:left w:val="nil"/>
              <w:bottom w:val="single" w:sz="4" w:space="0" w:color="auto"/>
              <w:right w:val="single" w:sz="4" w:space="0" w:color="auto"/>
            </w:tcBorders>
            <w:shd w:val="clear" w:color="000000" w:fill="FFFFFF"/>
            <w:vAlign w:val="bottom"/>
            <w:hideMark/>
          </w:tcPr>
          <w:p w14:paraId="090E9B2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wodorotlenek sodu </w:t>
            </w:r>
          </w:p>
        </w:tc>
        <w:tc>
          <w:tcPr>
            <w:tcW w:w="7264" w:type="dxa"/>
            <w:tcBorders>
              <w:top w:val="nil"/>
              <w:left w:val="nil"/>
              <w:bottom w:val="single" w:sz="4" w:space="0" w:color="auto"/>
              <w:right w:val="single" w:sz="4" w:space="0" w:color="auto"/>
            </w:tcBorders>
            <w:shd w:val="clear" w:color="000000" w:fill="FFFFFF"/>
            <w:vAlign w:val="bottom"/>
            <w:hideMark/>
          </w:tcPr>
          <w:p w14:paraId="1062844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mol/l (5 N), odczynnik dla biotechnologii, Numer CAS: 1310-73-2</w:t>
            </w:r>
          </w:p>
        </w:tc>
        <w:tc>
          <w:tcPr>
            <w:tcW w:w="1584" w:type="dxa"/>
            <w:tcBorders>
              <w:top w:val="nil"/>
              <w:left w:val="nil"/>
              <w:bottom w:val="single" w:sz="4" w:space="0" w:color="auto"/>
              <w:right w:val="single" w:sz="4" w:space="0" w:color="auto"/>
            </w:tcBorders>
            <w:shd w:val="clear" w:color="000000" w:fill="FFFFFF"/>
            <w:vAlign w:val="bottom"/>
            <w:hideMark/>
          </w:tcPr>
          <w:p w14:paraId="2E7872B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5DD61D7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0A59CDD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BB731F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96</w:t>
            </w:r>
          </w:p>
        </w:tc>
        <w:tc>
          <w:tcPr>
            <w:tcW w:w="3129" w:type="dxa"/>
            <w:tcBorders>
              <w:top w:val="nil"/>
              <w:left w:val="nil"/>
              <w:bottom w:val="single" w:sz="4" w:space="0" w:color="auto"/>
              <w:right w:val="single" w:sz="4" w:space="0" w:color="auto"/>
            </w:tcBorders>
            <w:shd w:val="clear" w:color="000000" w:fill="FFFFFF"/>
            <w:vAlign w:val="bottom"/>
            <w:hideMark/>
          </w:tcPr>
          <w:p w14:paraId="0E0434C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Kwas chlorowodorowy</w:t>
            </w:r>
          </w:p>
        </w:tc>
        <w:tc>
          <w:tcPr>
            <w:tcW w:w="7264" w:type="dxa"/>
            <w:tcBorders>
              <w:top w:val="nil"/>
              <w:left w:val="nil"/>
              <w:bottom w:val="single" w:sz="4" w:space="0" w:color="auto"/>
              <w:right w:val="single" w:sz="4" w:space="0" w:color="auto"/>
            </w:tcBorders>
            <w:shd w:val="clear" w:color="000000" w:fill="FFFFFF"/>
            <w:vAlign w:val="bottom"/>
            <w:hideMark/>
          </w:tcPr>
          <w:p w14:paraId="5269C0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35%, odczynnik dla biotechnologii, techniczny, Numer CAS: 7647-01-0</w:t>
            </w:r>
          </w:p>
        </w:tc>
        <w:tc>
          <w:tcPr>
            <w:tcW w:w="1584" w:type="dxa"/>
            <w:tcBorders>
              <w:top w:val="nil"/>
              <w:left w:val="nil"/>
              <w:bottom w:val="single" w:sz="4" w:space="0" w:color="auto"/>
              <w:right w:val="single" w:sz="4" w:space="0" w:color="auto"/>
            </w:tcBorders>
            <w:shd w:val="clear" w:color="000000" w:fill="FFFFFF"/>
            <w:vAlign w:val="bottom"/>
            <w:hideMark/>
          </w:tcPr>
          <w:p w14:paraId="3DF8076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L</w:t>
            </w:r>
          </w:p>
        </w:tc>
        <w:tc>
          <w:tcPr>
            <w:tcW w:w="787" w:type="dxa"/>
            <w:tcBorders>
              <w:top w:val="nil"/>
              <w:left w:val="nil"/>
              <w:bottom w:val="single" w:sz="4" w:space="0" w:color="auto"/>
              <w:right w:val="single" w:sz="4" w:space="0" w:color="auto"/>
            </w:tcBorders>
            <w:shd w:val="clear" w:color="000000" w:fill="FFFFFF"/>
            <w:vAlign w:val="bottom"/>
            <w:hideMark/>
          </w:tcPr>
          <w:p w14:paraId="6F4021B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2E83F5D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23A3D5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97</w:t>
            </w:r>
          </w:p>
        </w:tc>
        <w:tc>
          <w:tcPr>
            <w:tcW w:w="3129" w:type="dxa"/>
            <w:tcBorders>
              <w:top w:val="nil"/>
              <w:left w:val="nil"/>
              <w:bottom w:val="single" w:sz="4" w:space="0" w:color="auto"/>
              <w:right w:val="single" w:sz="4" w:space="0" w:color="auto"/>
            </w:tcBorders>
            <w:shd w:val="clear" w:color="000000" w:fill="FFFFFF"/>
            <w:vAlign w:val="bottom"/>
            <w:hideMark/>
          </w:tcPr>
          <w:p w14:paraId="7F4F3D9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Sól sodowa penicyliny G</w:t>
            </w:r>
          </w:p>
        </w:tc>
        <w:tc>
          <w:tcPr>
            <w:tcW w:w="7264" w:type="dxa"/>
            <w:tcBorders>
              <w:top w:val="nil"/>
              <w:left w:val="nil"/>
              <w:bottom w:val="single" w:sz="4" w:space="0" w:color="auto"/>
              <w:right w:val="single" w:sz="4" w:space="0" w:color="auto"/>
            </w:tcBorders>
            <w:shd w:val="clear" w:color="000000" w:fill="FFFFFF"/>
            <w:vAlign w:val="bottom"/>
            <w:hideMark/>
          </w:tcPr>
          <w:p w14:paraId="1DF9C82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Numer CAS: 69-57-8</w:t>
            </w:r>
          </w:p>
        </w:tc>
        <w:tc>
          <w:tcPr>
            <w:tcW w:w="1584" w:type="dxa"/>
            <w:tcBorders>
              <w:top w:val="nil"/>
              <w:left w:val="nil"/>
              <w:bottom w:val="single" w:sz="4" w:space="0" w:color="auto"/>
              <w:right w:val="single" w:sz="4" w:space="0" w:color="auto"/>
            </w:tcBorders>
            <w:shd w:val="clear" w:color="000000" w:fill="FFFFFF"/>
            <w:vAlign w:val="bottom"/>
            <w:hideMark/>
          </w:tcPr>
          <w:p w14:paraId="1280705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 G</w:t>
            </w:r>
          </w:p>
        </w:tc>
        <w:tc>
          <w:tcPr>
            <w:tcW w:w="787" w:type="dxa"/>
            <w:tcBorders>
              <w:top w:val="nil"/>
              <w:left w:val="nil"/>
              <w:bottom w:val="single" w:sz="4" w:space="0" w:color="auto"/>
              <w:right w:val="single" w:sz="4" w:space="0" w:color="auto"/>
            </w:tcBorders>
            <w:shd w:val="clear" w:color="000000" w:fill="FFFFFF"/>
            <w:vAlign w:val="bottom"/>
            <w:hideMark/>
          </w:tcPr>
          <w:p w14:paraId="646269D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418A8F6F"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77BEA1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98</w:t>
            </w:r>
          </w:p>
        </w:tc>
        <w:tc>
          <w:tcPr>
            <w:tcW w:w="3129" w:type="dxa"/>
            <w:tcBorders>
              <w:top w:val="nil"/>
              <w:left w:val="nil"/>
              <w:bottom w:val="single" w:sz="4" w:space="0" w:color="auto"/>
              <w:right w:val="single" w:sz="4" w:space="0" w:color="auto"/>
            </w:tcBorders>
            <w:shd w:val="clear" w:color="000000" w:fill="FFFFFF"/>
            <w:vAlign w:val="bottom"/>
            <w:hideMark/>
          </w:tcPr>
          <w:p w14:paraId="07CF4C4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jodek potasu</w:t>
            </w:r>
          </w:p>
        </w:tc>
        <w:tc>
          <w:tcPr>
            <w:tcW w:w="7264" w:type="dxa"/>
            <w:tcBorders>
              <w:top w:val="nil"/>
              <w:left w:val="nil"/>
              <w:bottom w:val="single" w:sz="4" w:space="0" w:color="auto"/>
              <w:right w:val="single" w:sz="4" w:space="0" w:color="auto"/>
            </w:tcBorders>
            <w:shd w:val="clear" w:color="000000" w:fill="FFFFFF"/>
            <w:vAlign w:val="bottom"/>
            <w:hideMark/>
          </w:tcPr>
          <w:p w14:paraId="36AEA2F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≥99%, Numer CAS: 7681-11-0</w:t>
            </w:r>
          </w:p>
        </w:tc>
        <w:tc>
          <w:tcPr>
            <w:tcW w:w="1584" w:type="dxa"/>
            <w:tcBorders>
              <w:top w:val="nil"/>
              <w:left w:val="nil"/>
              <w:bottom w:val="single" w:sz="4" w:space="0" w:color="auto"/>
              <w:right w:val="single" w:sz="4" w:space="0" w:color="auto"/>
            </w:tcBorders>
            <w:shd w:val="clear" w:color="000000" w:fill="FFFFFF"/>
            <w:vAlign w:val="bottom"/>
            <w:hideMark/>
          </w:tcPr>
          <w:p w14:paraId="64AF207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 G</w:t>
            </w:r>
          </w:p>
        </w:tc>
        <w:tc>
          <w:tcPr>
            <w:tcW w:w="787" w:type="dxa"/>
            <w:tcBorders>
              <w:top w:val="nil"/>
              <w:left w:val="nil"/>
              <w:bottom w:val="single" w:sz="4" w:space="0" w:color="auto"/>
              <w:right w:val="single" w:sz="4" w:space="0" w:color="auto"/>
            </w:tcBorders>
            <w:shd w:val="clear" w:color="000000" w:fill="FFFFFF"/>
            <w:vAlign w:val="bottom"/>
            <w:hideMark/>
          </w:tcPr>
          <w:p w14:paraId="2D7D78A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9E66C68"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BAD7D5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99</w:t>
            </w:r>
          </w:p>
        </w:tc>
        <w:tc>
          <w:tcPr>
            <w:tcW w:w="3129" w:type="dxa"/>
            <w:tcBorders>
              <w:top w:val="nil"/>
              <w:left w:val="nil"/>
              <w:bottom w:val="single" w:sz="4" w:space="0" w:color="auto"/>
              <w:right w:val="single" w:sz="4" w:space="0" w:color="auto"/>
            </w:tcBorders>
            <w:shd w:val="clear" w:color="000000" w:fill="FFFFFF"/>
            <w:vAlign w:val="bottom"/>
            <w:hideMark/>
          </w:tcPr>
          <w:p w14:paraId="49ADB77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2-Propanol </w:t>
            </w:r>
          </w:p>
        </w:tc>
        <w:tc>
          <w:tcPr>
            <w:tcW w:w="7264" w:type="dxa"/>
            <w:tcBorders>
              <w:top w:val="nil"/>
              <w:left w:val="nil"/>
              <w:bottom w:val="single" w:sz="4" w:space="0" w:color="auto"/>
              <w:right w:val="single" w:sz="4" w:space="0" w:color="auto"/>
            </w:tcBorders>
            <w:shd w:val="clear" w:color="000000" w:fill="FFFFFF"/>
            <w:vAlign w:val="bottom"/>
            <w:hideMark/>
          </w:tcPr>
          <w:p w14:paraId="2865044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 czystość: ≥98%, techniczny, Numer CAS: 67-63-0</w:t>
            </w:r>
          </w:p>
        </w:tc>
        <w:tc>
          <w:tcPr>
            <w:tcW w:w="1584" w:type="dxa"/>
            <w:tcBorders>
              <w:top w:val="nil"/>
              <w:left w:val="nil"/>
              <w:bottom w:val="single" w:sz="4" w:space="0" w:color="auto"/>
              <w:right w:val="single" w:sz="4" w:space="0" w:color="auto"/>
            </w:tcBorders>
            <w:shd w:val="clear" w:color="000000" w:fill="FFFFFF"/>
            <w:vAlign w:val="bottom"/>
            <w:hideMark/>
          </w:tcPr>
          <w:p w14:paraId="46614D9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L</w:t>
            </w:r>
          </w:p>
        </w:tc>
        <w:tc>
          <w:tcPr>
            <w:tcW w:w="787" w:type="dxa"/>
            <w:tcBorders>
              <w:top w:val="nil"/>
              <w:left w:val="nil"/>
              <w:bottom w:val="single" w:sz="4" w:space="0" w:color="auto"/>
              <w:right w:val="single" w:sz="4" w:space="0" w:color="auto"/>
            </w:tcBorders>
            <w:shd w:val="clear" w:color="000000" w:fill="FFFFFF"/>
            <w:vAlign w:val="bottom"/>
            <w:hideMark/>
          </w:tcPr>
          <w:p w14:paraId="1DEB60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227D77D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7D9B7E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w:t>
            </w:r>
          </w:p>
        </w:tc>
        <w:tc>
          <w:tcPr>
            <w:tcW w:w="3129" w:type="dxa"/>
            <w:tcBorders>
              <w:top w:val="nil"/>
              <w:left w:val="nil"/>
              <w:bottom w:val="single" w:sz="4" w:space="0" w:color="auto"/>
              <w:right w:val="single" w:sz="4" w:space="0" w:color="auto"/>
            </w:tcBorders>
            <w:shd w:val="clear" w:color="000000" w:fill="FFFFFF"/>
            <w:vAlign w:val="bottom"/>
            <w:hideMark/>
          </w:tcPr>
          <w:p w14:paraId="06712F3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Stripy PCR </w:t>
            </w:r>
          </w:p>
        </w:tc>
        <w:tc>
          <w:tcPr>
            <w:tcW w:w="7264" w:type="dxa"/>
            <w:tcBorders>
              <w:top w:val="nil"/>
              <w:left w:val="nil"/>
              <w:bottom w:val="single" w:sz="4" w:space="0" w:color="auto"/>
              <w:right w:val="single" w:sz="4" w:space="0" w:color="auto"/>
            </w:tcBorders>
            <w:shd w:val="clear" w:color="000000" w:fill="FFFFFF"/>
            <w:vAlign w:val="bottom"/>
            <w:hideMark/>
          </w:tcPr>
          <w:p w14:paraId="3F2D85C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Stripy do PCR 8 probówek, bez wieczka, przezroczyste, 0,2 ml</w:t>
            </w:r>
          </w:p>
        </w:tc>
        <w:tc>
          <w:tcPr>
            <w:tcW w:w="1584" w:type="dxa"/>
            <w:tcBorders>
              <w:top w:val="nil"/>
              <w:left w:val="nil"/>
              <w:bottom w:val="single" w:sz="4" w:space="0" w:color="auto"/>
              <w:right w:val="single" w:sz="4" w:space="0" w:color="auto"/>
            </w:tcBorders>
            <w:shd w:val="clear" w:color="000000" w:fill="FFFFFF"/>
            <w:vAlign w:val="bottom"/>
            <w:hideMark/>
          </w:tcPr>
          <w:p w14:paraId="50722EF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125 szt.</w:t>
            </w:r>
          </w:p>
        </w:tc>
        <w:tc>
          <w:tcPr>
            <w:tcW w:w="787" w:type="dxa"/>
            <w:tcBorders>
              <w:top w:val="nil"/>
              <w:left w:val="nil"/>
              <w:bottom w:val="single" w:sz="4" w:space="0" w:color="auto"/>
              <w:right w:val="single" w:sz="4" w:space="0" w:color="auto"/>
            </w:tcBorders>
            <w:shd w:val="clear" w:color="000000" w:fill="FFFFFF"/>
            <w:vAlign w:val="bottom"/>
            <w:hideMark/>
          </w:tcPr>
          <w:p w14:paraId="47805D0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1B729671"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26C141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101</w:t>
            </w:r>
          </w:p>
        </w:tc>
        <w:tc>
          <w:tcPr>
            <w:tcW w:w="3129" w:type="dxa"/>
            <w:tcBorders>
              <w:top w:val="nil"/>
              <w:left w:val="nil"/>
              <w:bottom w:val="single" w:sz="4" w:space="0" w:color="auto"/>
              <w:right w:val="single" w:sz="4" w:space="0" w:color="auto"/>
            </w:tcBorders>
            <w:shd w:val="clear" w:color="000000" w:fill="FFFFFF"/>
            <w:vAlign w:val="bottom"/>
            <w:hideMark/>
          </w:tcPr>
          <w:p w14:paraId="474C19D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Wieczka płaskie</w:t>
            </w:r>
          </w:p>
        </w:tc>
        <w:tc>
          <w:tcPr>
            <w:tcW w:w="7264" w:type="dxa"/>
            <w:tcBorders>
              <w:top w:val="nil"/>
              <w:left w:val="nil"/>
              <w:bottom w:val="single" w:sz="4" w:space="0" w:color="auto"/>
              <w:right w:val="single" w:sz="4" w:space="0" w:color="auto"/>
            </w:tcBorders>
            <w:shd w:val="clear" w:color="000000" w:fill="FFFFFF"/>
            <w:vAlign w:val="bottom"/>
            <w:hideMark/>
          </w:tcPr>
          <w:p w14:paraId="4D88124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Wieczka płaskie, paski po 8 szt., przezroczyste</w:t>
            </w:r>
          </w:p>
        </w:tc>
        <w:tc>
          <w:tcPr>
            <w:tcW w:w="1584" w:type="dxa"/>
            <w:tcBorders>
              <w:top w:val="nil"/>
              <w:left w:val="nil"/>
              <w:bottom w:val="single" w:sz="4" w:space="0" w:color="auto"/>
              <w:right w:val="single" w:sz="4" w:space="0" w:color="auto"/>
            </w:tcBorders>
            <w:shd w:val="clear" w:color="000000" w:fill="FFFFFF"/>
            <w:vAlign w:val="bottom"/>
            <w:hideMark/>
          </w:tcPr>
          <w:p w14:paraId="7831874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125 szt.</w:t>
            </w:r>
          </w:p>
        </w:tc>
        <w:tc>
          <w:tcPr>
            <w:tcW w:w="787" w:type="dxa"/>
            <w:tcBorders>
              <w:top w:val="nil"/>
              <w:left w:val="nil"/>
              <w:bottom w:val="single" w:sz="4" w:space="0" w:color="auto"/>
              <w:right w:val="single" w:sz="4" w:space="0" w:color="auto"/>
            </w:tcBorders>
            <w:shd w:val="clear" w:color="000000" w:fill="FFFFFF"/>
            <w:vAlign w:val="bottom"/>
            <w:hideMark/>
          </w:tcPr>
          <w:p w14:paraId="1F1FA11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53482990"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602264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102</w:t>
            </w:r>
          </w:p>
        </w:tc>
        <w:tc>
          <w:tcPr>
            <w:tcW w:w="3129" w:type="dxa"/>
            <w:tcBorders>
              <w:top w:val="nil"/>
              <w:left w:val="nil"/>
              <w:bottom w:val="single" w:sz="4" w:space="0" w:color="auto"/>
              <w:right w:val="single" w:sz="4" w:space="0" w:color="auto"/>
            </w:tcBorders>
            <w:shd w:val="clear" w:color="000000" w:fill="FFFFFF"/>
            <w:vAlign w:val="bottom"/>
            <w:hideMark/>
          </w:tcPr>
          <w:p w14:paraId="6B8402C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Roztwór odkażający do usuwania RNaz</w:t>
            </w:r>
          </w:p>
        </w:tc>
        <w:tc>
          <w:tcPr>
            <w:tcW w:w="7264" w:type="dxa"/>
            <w:tcBorders>
              <w:top w:val="nil"/>
              <w:left w:val="nil"/>
              <w:bottom w:val="single" w:sz="4" w:space="0" w:color="auto"/>
              <w:right w:val="single" w:sz="4" w:space="0" w:color="auto"/>
            </w:tcBorders>
            <w:shd w:val="clear" w:color="000000" w:fill="FFFFFF"/>
            <w:vAlign w:val="bottom"/>
            <w:hideMark/>
          </w:tcPr>
          <w:p w14:paraId="426A9B7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roztwór odkażający do usuwania RNaz. Do czyszczenia powierzchni, pipet, sprzętu i materiałów zużywalnych.</w:t>
            </w:r>
          </w:p>
        </w:tc>
        <w:tc>
          <w:tcPr>
            <w:tcW w:w="1584" w:type="dxa"/>
            <w:tcBorders>
              <w:top w:val="nil"/>
              <w:left w:val="nil"/>
              <w:bottom w:val="single" w:sz="4" w:space="0" w:color="auto"/>
              <w:right w:val="single" w:sz="4" w:space="0" w:color="auto"/>
            </w:tcBorders>
            <w:shd w:val="clear" w:color="000000" w:fill="FFFFFF"/>
            <w:vAlign w:val="bottom"/>
            <w:hideMark/>
          </w:tcPr>
          <w:p w14:paraId="0EDA760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475 ml</w:t>
            </w:r>
          </w:p>
        </w:tc>
        <w:tc>
          <w:tcPr>
            <w:tcW w:w="787" w:type="dxa"/>
            <w:tcBorders>
              <w:top w:val="nil"/>
              <w:left w:val="nil"/>
              <w:bottom w:val="single" w:sz="4" w:space="0" w:color="auto"/>
              <w:right w:val="single" w:sz="4" w:space="0" w:color="auto"/>
            </w:tcBorders>
            <w:shd w:val="clear" w:color="000000" w:fill="FFFFFF"/>
            <w:vAlign w:val="bottom"/>
            <w:hideMark/>
          </w:tcPr>
          <w:p w14:paraId="6DEDB51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03CDDFC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26F51C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103</w:t>
            </w:r>
          </w:p>
        </w:tc>
        <w:tc>
          <w:tcPr>
            <w:tcW w:w="3129" w:type="dxa"/>
            <w:tcBorders>
              <w:top w:val="nil"/>
              <w:left w:val="nil"/>
              <w:bottom w:val="single" w:sz="4" w:space="0" w:color="auto"/>
              <w:right w:val="single" w:sz="4" w:space="0" w:color="auto"/>
            </w:tcBorders>
            <w:shd w:val="clear" w:color="000000" w:fill="FFFFFF"/>
            <w:vAlign w:val="bottom"/>
            <w:hideMark/>
          </w:tcPr>
          <w:p w14:paraId="53A2132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LINE-EtOH ACETONÓWKA</w:t>
            </w:r>
          </w:p>
        </w:tc>
        <w:tc>
          <w:tcPr>
            <w:tcW w:w="7264" w:type="dxa"/>
            <w:tcBorders>
              <w:top w:val="nil"/>
              <w:left w:val="nil"/>
              <w:bottom w:val="single" w:sz="4" w:space="0" w:color="auto"/>
              <w:right w:val="single" w:sz="4" w:space="0" w:color="auto"/>
            </w:tcBorders>
            <w:shd w:val="clear" w:color="000000" w:fill="FFFFFF"/>
            <w:vAlign w:val="bottom"/>
            <w:hideMark/>
          </w:tcPr>
          <w:p w14:paraId="0BC62F7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odczynnik dla biotechnologii</w:t>
            </w:r>
          </w:p>
        </w:tc>
        <w:tc>
          <w:tcPr>
            <w:tcW w:w="1584" w:type="dxa"/>
            <w:tcBorders>
              <w:top w:val="nil"/>
              <w:left w:val="nil"/>
              <w:bottom w:val="single" w:sz="4" w:space="0" w:color="auto"/>
              <w:right w:val="single" w:sz="4" w:space="0" w:color="auto"/>
            </w:tcBorders>
            <w:shd w:val="clear" w:color="000000" w:fill="FFFFFF"/>
            <w:vAlign w:val="bottom"/>
            <w:hideMark/>
          </w:tcPr>
          <w:p w14:paraId="4D17AFB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 L</w:t>
            </w:r>
          </w:p>
        </w:tc>
        <w:tc>
          <w:tcPr>
            <w:tcW w:w="787" w:type="dxa"/>
            <w:tcBorders>
              <w:top w:val="nil"/>
              <w:left w:val="nil"/>
              <w:bottom w:val="single" w:sz="4" w:space="0" w:color="auto"/>
              <w:right w:val="single" w:sz="4" w:space="0" w:color="auto"/>
            </w:tcBorders>
            <w:shd w:val="clear" w:color="000000" w:fill="FFFFFF"/>
            <w:vAlign w:val="bottom"/>
            <w:hideMark/>
          </w:tcPr>
          <w:p w14:paraId="20BCBDE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B151547" w14:textId="77777777" w:rsidTr="00CB32F5">
        <w:trPr>
          <w:trHeight w:val="19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C0F544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104</w:t>
            </w:r>
          </w:p>
        </w:tc>
        <w:tc>
          <w:tcPr>
            <w:tcW w:w="3129" w:type="dxa"/>
            <w:tcBorders>
              <w:top w:val="nil"/>
              <w:left w:val="nil"/>
              <w:bottom w:val="single" w:sz="4" w:space="0" w:color="auto"/>
              <w:right w:val="single" w:sz="4" w:space="0" w:color="auto"/>
            </w:tcBorders>
            <w:shd w:val="clear" w:color="000000" w:fill="FFFFFF"/>
            <w:vAlign w:val="bottom"/>
            <w:hideMark/>
          </w:tcPr>
          <w:p w14:paraId="4320DFF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wirówkowe o bardzo wysokiej wydajności</w:t>
            </w:r>
          </w:p>
        </w:tc>
        <w:tc>
          <w:tcPr>
            <w:tcW w:w="7264" w:type="dxa"/>
            <w:tcBorders>
              <w:top w:val="nil"/>
              <w:left w:val="nil"/>
              <w:bottom w:val="single" w:sz="4" w:space="0" w:color="auto"/>
              <w:right w:val="single" w:sz="4" w:space="0" w:color="auto"/>
            </w:tcBorders>
            <w:shd w:val="clear" w:color="000000" w:fill="FFFFFF"/>
            <w:vAlign w:val="bottom"/>
            <w:hideMark/>
          </w:tcPr>
          <w:p w14:paraId="5F3DCF9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 50 ml, Szczelne, stożkowe probówki wirówkowe z dnem zapobiegają pękaniu i wyciekaniu podczas wirowania z dużą prędkością, wykonane z niecytotoksycznej żywicy klasy medycznej, która umożliwia użytkownikom łatwe sprawdzenie objętości i koloru próbki. Łatwe do odczytania czarne podziałki w krokach ±2%, Zawiera dużą, białą matową powierzchnię do pisania, Wolne od RNaz, DNaz i endotoksyn, Możliwość sterylizacji w autoklawie w 121 °C i zamrażania do –80 °C, Sterylne probówki są sterylizowane przez napromienianie.</w:t>
            </w:r>
          </w:p>
        </w:tc>
        <w:tc>
          <w:tcPr>
            <w:tcW w:w="1584" w:type="dxa"/>
            <w:tcBorders>
              <w:top w:val="nil"/>
              <w:left w:val="nil"/>
              <w:bottom w:val="single" w:sz="4" w:space="0" w:color="auto"/>
              <w:right w:val="single" w:sz="4" w:space="0" w:color="auto"/>
            </w:tcBorders>
            <w:shd w:val="clear" w:color="000000" w:fill="FFFFFF"/>
            <w:noWrap/>
            <w:vAlign w:val="bottom"/>
            <w:hideMark/>
          </w:tcPr>
          <w:p w14:paraId="6151B62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szt.</w:t>
            </w:r>
          </w:p>
        </w:tc>
        <w:tc>
          <w:tcPr>
            <w:tcW w:w="787" w:type="dxa"/>
            <w:tcBorders>
              <w:top w:val="nil"/>
              <w:left w:val="nil"/>
              <w:bottom w:val="single" w:sz="4" w:space="0" w:color="auto"/>
              <w:right w:val="single" w:sz="4" w:space="0" w:color="auto"/>
            </w:tcBorders>
            <w:shd w:val="clear" w:color="000000" w:fill="FFFFFF"/>
            <w:noWrap/>
            <w:vAlign w:val="bottom"/>
            <w:hideMark/>
          </w:tcPr>
          <w:p w14:paraId="16C628B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7D4B9CF4" w14:textId="77777777" w:rsidTr="00CB32F5">
        <w:trPr>
          <w:trHeight w:val="190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2DE16F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105</w:t>
            </w:r>
          </w:p>
        </w:tc>
        <w:tc>
          <w:tcPr>
            <w:tcW w:w="3129" w:type="dxa"/>
            <w:tcBorders>
              <w:top w:val="nil"/>
              <w:left w:val="nil"/>
              <w:bottom w:val="single" w:sz="4" w:space="0" w:color="auto"/>
              <w:right w:val="single" w:sz="4" w:space="0" w:color="auto"/>
            </w:tcBorders>
            <w:shd w:val="clear" w:color="000000" w:fill="FFFFFF"/>
            <w:vAlign w:val="bottom"/>
            <w:hideMark/>
          </w:tcPr>
          <w:p w14:paraId="1D24CBB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wirówkowe o bardzo wysokiej wydajności</w:t>
            </w:r>
          </w:p>
        </w:tc>
        <w:tc>
          <w:tcPr>
            <w:tcW w:w="7264" w:type="dxa"/>
            <w:tcBorders>
              <w:top w:val="nil"/>
              <w:left w:val="nil"/>
              <w:bottom w:val="nil"/>
              <w:right w:val="nil"/>
            </w:tcBorders>
            <w:shd w:val="clear" w:color="000000" w:fill="FFFFFF"/>
            <w:vAlign w:val="bottom"/>
            <w:hideMark/>
          </w:tcPr>
          <w:p w14:paraId="27A8033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 15 ml, Szczelne, stożkowe probówki wirówkowe z dnem zapobiegają pękaniu i wyciekaniu podczas wirowania z dużą prędkością, wykonane z niecytotoksycznej żywicy klasy medycznej, która umożliwia użytkownikom łatwe sprawdzenie objętości i koloru próbki. Łatwe do odczytania czarne podziałki w krokach ±2%, Zawiera dużą, białą matową powierzchnię do pisania, Wolne od RNaz, DNaz i endotoksyn, Możliwość sterylizacji w autoklawie w 121 °C i zamrażania do –80 °C, Sterylne probówki są sterylizowane przez napromienianie.</w:t>
            </w:r>
          </w:p>
        </w:tc>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14:paraId="7390871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szt.</w:t>
            </w:r>
          </w:p>
        </w:tc>
        <w:tc>
          <w:tcPr>
            <w:tcW w:w="787" w:type="dxa"/>
            <w:tcBorders>
              <w:top w:val="nil"/>
              <w:left w:val="nil"/>
              <w:bottom w:val="single" w:sz="4" w:space="0" w:color="auto"/>
              <w:right w:val="single" w:sz="4" w:space="0" w:color="auto"/>
            </w:tcBorders>
            <w:shd w:val="clear" w:color="000000" w:fill="FFFFFF"/>
            <w:noWrap/>
            <w:vAlign w:val="bottom"/>
            <w:hideMark/>
          </w:tcPr>
          <w:p w14:paraId="0A9B27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7D8356DB"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8D1448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106</w:t>
            </w:r>
          </w:p>
        </w:tc>
        <w:tc>
          <w:tcPr>
            <w:tcW w:w="3129" w:type="dxa"/>
            <w:tcBorders>
              <w:top w:val="nil"/>
              <w:left w:val="nil"/>
              <w:bottom w:val="single" w:sz="4" w:space="0" w:color="auto"/>
              <w:right w:val="single" w:sz="4" w:space="0" w:color="auto"/>
            </w:tcBorders>
            <w:shd w:val="clear" w:color="000000" w:fill="FFFFFF"/>
            <w:vAlign w:val="bottom"/>
            <w:hideMark/>
          </w:tcPr>
          <w:p w14:paraId="6F400EF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do PCR z płaską zatyczką</w:t>
            </w:r>
          </w:p>
        </w:tc>
        <w:tc>
          <w:tcPr>
            <w:tcW w:w="7264" w:type="dxa"/>
            <w:tcBorders>
              <w:top w:val="single" w:sz="4" w:space="0" w:color="auto"/>
              <w:left w:val="nil"/>
              <w:bottom w:val="single" w:sz="4" w:space="0" w:color="auto"/>
              <w:right w:val="single" w:sz="4" w:space="0" w:color="auto"/>
            </w:tcBorders>
            <w:shd w:val="clear" w:color="000000" w:fill="FFFFFF"/>
            <w:vAlign w:val="bottom"/>
            <w:hideMark/>
          </w:tcPr>
          <w:p w14:paraId="078B24F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Pasujące do większości popularnych modeli termocyklerów. Wykonane z PP, Wolne od DNazy, RNazy i ludzkiego DNA. Probówki przezroczyste, objętość: 0,2 ml</w:t>
            </w:r>
          </w:p>
        </w:tc>
        <w:tc>
          <w:tcPr>
            <w:tcW w:w="1584" w:type="dxa"/>
            <w:tcBorders>
              <w:top w:val="nil"/>
              <w:left w:val="nil"/>
              <w:bottom w:val="single" w:sz="4" w:space="0" w:color="auto"/>
              <w:right w:val="single" w:sz="4" w:space="0" w:color="auto"/>
            </w:tcBorders>
            <w:shd w:val="clear" w:color="000000" w:fill="FFFFFF"/>
            <w:noWrap/>
            <w:vAlign w:val="bottom"/>
            <w:hideMark/>
          </w:tcPr>
          <w:p w14:paraId="001544A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1000 szt.</w:t>
            </w:r>
          </w:p>
        </w:tc>
        <w:tc>
          <w:tcPr>
            <w:tcW w:w="787" w:type="dxa"/>
            <w:tcBorders>
              <w:top w:val="nil"/>
              <w:left w:val="nil"/>
              <w:bottom w:val="single" w:sz="4" w:space="0" w:color="auto"/>
              <w:right w:val="single" w:sz="4" w:space="0" w:color="auto"/>
            </w:tcBorders>
            <w:shd w:val="clear" w:color="000000" w:fill="FFFFFF"/>
            <w:noWrap/>
            <w:vAlign w:val="bottom"/>
            <w:hideMark/>
          </w:tcPr>
          <w:p w14:paraId="4AF6EA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r>
      <w:tr w:rsidR="00CB32F5" w:rsidRPr="00CB32F5" w14:paraId="666A0F37" w14:textId="77777777" w:rsidTr="00CB32F5">
        <w:trPr>
          <w:trHeight w:val="72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2A7FD1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107</w:t>
            </w:r>
          </w:p>
        </w:tc>
        <w:tc>
          <w:tcPr>
            <w:tcW w:w="3129" w:type="dxa"/>
            <w:tcBorders>
              <w:top w:val="nil"/>
              <w:left w:val="nil"/>
              <w:bottom w:val="single" w:sz="4" w:space="0" w:color="auto"/>
              <w:right w:val="single" w:sz="4" w:space="0" w:color="auto"/>
            </w:tcBorders>
            <w:shd w:val="clear" w:color="000000" w:fill="FFFFFF"/>
            <w:noWrap/>
            <w:vAlign w:val="bottom"/>
            <w:hideMark/>
          </w:tcPr>
          <w:p w14:paraId="71A5BDD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center"/>
            <w:hideMark/>
          </w:tcPr>
          <w:p w14:paraId="7E71A4F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Dopasowane końcówki ze skalą, objętość: 0,1 - 10 µl, sterylne, długość około 31 mm. Wykonane z wysokiej jakości, 100% czystego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68D1B3D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4FED873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567E9FF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DD6ABF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108</w:t>
            </w:r>
          </w:p>
        </w:tc>
        <w:tc>
          <w:tcPr>
            <w:tcW w:w="3129" w:type="dxa"/>
            <w:tcBorders>
              <w:top w:val="nil"/>
              <w:left w:val="nil"/>
              <w:bottom w:val="single" w:sz="4" w:space="0" w:color="auto"/>
              <w:right w:val="single" w:sz="4" w:space="0" w:color="auto"/>
            </w:tcBorders>
            <w:shd w:val="clear" w:color="000000" w:fill="FFFFFF"/>
            <w:noWrap/>
            <w:vAlign w:val="bottom"/>
            <w:hideMark/>
          </w:tcPr>
          <w:p w14:paraId="7F8EF2C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bottom"/>
            <w:hideMark/>
          </w:tcPr>
          <w:p w14:paraId="2A05696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Dopasowane końcówki wydłużone, objętość: 0,1 - 10 µl, sterylne, długość około 38 mm. Wykonane z wysokiej jakości, 100% czystego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2CAA7B6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234CDB1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r>
      <w:tr w:rsidR="00CB32F5" w:rsidRPr="00CB32F5" w14:paraId="240B25BC"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2CB4B3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109</w:t>
            </w:r>
          </w:p>
        </w:tc>
        <w:tc>
          <w:tcPr>
            <w:tcW w:w="3129" w:type="dxa"/>
            <w:tcBorders>
              <w:top w:val="nil"/>
              <w:left w:val="nil"/>
              <w:bottom w:val="single" w:sz="4" w:space="0" w:color="auto"/>
              <w:right w:val="single" w:sz="4" w:space="0" w:color="auto"/>
            </w:tcBorders>
            <w:shd w:val="clear" w:color="000000" w:fill="FFFFFF"/>
            <w:noWrap/>
            <w:vAlign w:val="bottom"/>
            <w:hideMark/>
          </w:tcPr>
          <w:p w14:paraId="5C11C60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bottom"/>
            <w:hideMark/>
          </w:tcPr>
          <w:p w14:paraId="30E6480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Dopasowane końcówki wydłużone, objętość: 1 - 100 µl, sterylne, długość około 83 mm. Wykonane z wysokiej jakości, 100% czystego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0D66978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33CEEA9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7D8411F3"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AB3669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110</w:t>
            </w:r>
          </w:p>
        </w:tc>
        <w:tc>
          <w:tcPr>
            <w:tcW w:w="3129" w:type="dxa"/>
            <w:tcBorders>
              <w:top w:val="nil"/>
              <w:left w:val="nil"/>
              <w:bottom w:val="single" w:sz="4" w:space="0" w:color="auto"/>
              <w:right w:val="single" w:sz="4" w:space="0" w:color="auto"/>
            </w:tcBorders>
            <w:shd w:val="clear" w:color="000000" w:fill="FFFFFF"/>
            <w:noWrap/>
            <w:vAlign w:val="bottom"/>
            <w:hideMark/>
          </w:tcPr>
          <w:p w14:paraId="2F7307F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bottom"/>
            <w:hideMark/>
          </w:tcPr>
          <w:p w14:paraId="6B05848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Objętość, 1 - 100 µl, sterylne, długość około 49 mm. Wykonane z wysokiej jakości, 100% czystego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4DB9AA7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66CDBAC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2490859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EB1A26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111</w:t>
            </w:r>
          </w:p>
        </w:tc>
        <w:tc>
          <w:tcPr>
            <w:tcW w:w="3129" w:type="dxa"/>
            <w:tcBorders>
              <w:top w:val="nil"/>
              <w:left w:val="nil"/>
              <w:bottom w:val="single" w:sz="4" w:space="0" w:color="auto"/>
              <w:right w:val="single" w:sz="4" w:space="0" w:color="auto"/>
            </w:tcBorders>
            <w:shd w:val="clear" w:color="000000" w:fill="FFFFFF"/>
            <w:noWrap/>
            <w:vAlign w:val="bottom"/>
            <w:hideMark/>
          </w:tcPr>
          <w:p w14:paraId="0FB0C8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bottom"/>
            <w:hideMark/>
          </w:tcPr>
          <w:p w14:paraId="0C0A8F5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Dopasowane końcówki o objętość: 1 - 200 µl, sterylne, długość około 52 mm. Wykonane z wysokiej jakości, 100% czystego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0C2A708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532A9B3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r>
      <w:tr w:rsidR="00CB32F5" w:rsidRPr="00CB32F5" w14:paraId="67027975"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7619CB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112</w:t>
            </w:r>
          </w:p>
        </w:tc>
        <w:tc>
          <w:tcPr>
            <w:tcW w:w="3129" w:type="dxa"/>
            <w:tcBorders>
              <w:top w:val="nil"/>
              <w:left w:val="nil"/>
              <w:bottom w:val="single" w:sz="4" w:space="0" w:color="auto"/>
              <w:right w:val="single" w:sz="4" w:space="0" w:color="auto"/>
            </w:tcBorders>
            <w:shd w:val="clear" w:color="000000" w:fill="FFFFFF"/>
            <w:noWrap/>
            <w:vAlign w:val="bottom"/>
            <w:hideMark/>
          </w:tcPr>
          <w:p w14:paraId="56C5EE6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Końcówki do pipet z filtrem w pudełkach</w:t>
            </w:r>
          </w:p>
        </w:tc>
        <w:tc>
          <w:tcPr>
            <w:tcW w:w="7264" w:type="dxa"/>
            <w:tcBorders>
              <w:top w:val="nil"/>
              <w:left w:val="nil"/>
              <w:bottom w:val="single" w:sz="4" w:space="0" w:color="auto"/>
              <w:right w:val="single" w:sz="4" w:space="0" w:color="auto"/>
            </w:tcBorders>
            <w:shd w:val="clear" w:color="000000" w:fill="FFFFFF"/>
            <w:vAlign w:val="bottom"/>
            <w:hideMark/>
          </w:tcPr>
          <w:p w14:paraId="02588C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Dopasowane końcówki o objętość: 100 - 1000 µl, sterylne, długość około 88 mm. Wykonane z wysokiej jakości, 100% czystego, dziewiczego PP medycznego. Gwarantowany wolny od wykrywalnego ludzkiego DNA, DNazy / RNazy, ATP, endotoksyn i metali ciężkich.</w:t>
            </w:r>
          </w:p>
        </w:tc>
        <w:tc>
          <w:tcPr>
            <w:tcW w:w="1584" w:type="dxa"/>
            <w:tcBorders>
              <w:top w:val="nil"/>
              <w:left w:val="nil"/>
              <w:bottom w:val="single" w:sz="4" w:space="0" w:color="auto"/>
              <w:right w:val="single" w:sz="4" w:space="0" w:color="auto"/>
            </w:tcBorders>
            <w:shd w:val="clear" w:color="000000" w:fill="FFFFFF"/>
            <w:noWrap/>
            <w:vAlign w:val="bottom"/>
            <w:hideMark/>
          </w:tcPr>
          <w:p w14:paraId="1A06D6F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 pudełek po 96 szt.</w:t>
            </w:r>
          </w:p>
        </w:tc>
        <w:tc>
          <w:tcPr>
            <w:tcW w:w="787" w:type="dxa"/>
            <w:tcBorders>
              <w:top w:val="nil"/>
              <w:left w:val="nil"/>
              <w:bottom w:val="single" w:sz="4" w:space="0" w:color="auto"/>
              <w:right w:val="single" w:sz="4" w:space="0" w:color="auto"/>
            </w:tcBorders>
            <w:shd w:val="clear" w:color="000000" w:fill="FFFFFF"/>
            <w:noWrap/>
            <w:vAlign w:val="bottom"/>
            <w:hideMark/>
          </w:tcPr>
          <w:p w14:paraId="1370BCA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r>
      <w:tr w:rsidR="00CB32F5" w:rsidRPr="00CB32F5" w14:paraId="69424975"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FA641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113</w:t>
            </w:r>
          </w:p>
        </w:tc>
        <w:tc>
          <w:tcPr>
            <w:tcW w:w="3129" w:type="dxa"/>
            <w:tcBorders>
              <w:top w:val="nil"/>
              <w:left w:val="nil"/>
              <w:bottom w:val="single" w:sz="4" w:space="0" w:color="auto"/>
              <w:right w:val="single" w:sz="4" w:space="0" w:color="auto"/>
            </w:tcBorders>
            <w:shd w:val="clear" w:color="000000" w:fill="FFFFFF"/>
            <w:vAlign w:val="bottom"/>
            <w:hideMark/>
          </w:tcPr>
          <w:p w14:paraId="74DE46A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Mikropłytki do fluorescencji 96-dołkowe, czarne</w:t>
            </w:r>
          </w:p>
        </w:tc>
        <w:tc>
          <w:tcPr>
            <w:tcW w:w="7264" w:type="dxa"/>
            <w:tcBorders>
              <w:top w:val="nil"/>
              <w:left w:val="nil"/>
              <w:bottom w:val="single" w:sz="4" w:space="0" w:color="auto"/>
              <w:right w:val="single" w:sz="4" w:space="0" w:color="auto"/>
            </w:tcBorders>
            <w:shd w:val="clear" w:color="000000" w:fill="FFFFFF"/>
            <w:vAlign w:val="bottom"/>
            <w:hideMark/>
          </w:tcPr>
          <w:p w14:paraId="0E496A6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Zaprojektowane specjalnie do aplikacji fluorescencyjnych, posiadają podwyższone ścianki dołków w celu uniknięcia kontaminacji między próbkami, mają płaskie dno, dają niskie tło.</w:t>
            </w:r>
          </w:p>
        </w:tc>
        <w:tc>
          <w:tcPr>
            <w:tcW w:w="1584" w:type="dxa"/>
            <w:tcBorders>
              <w:top w:val="nil"/>
              <w:left w:val="nil"/>
              <w:bottom w:val="single" w:sz="4" w:space="0" w:color="auto"/>
              <w:right w:val="single" w:sz="4" w:space="0" w:color="auto"/>
            </w:tcBorders>
            <w:shd w:val="clear" w:color="000000" w:fill="FFFFFF"/>
            <w:noWrap/>
            <w:vAlign w:val="bottom"/>
            <w:hideMark/>
          </w:tcPr>
          <w:p w14:paraId="3182F2D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szt.</w:t>
            </w:r>
          </w:p>
        </w:tc>
        <w:tc>
          <w:tcPr>
            <w:tcW w:w="787" w:type="dxa"/>
            <w:tcBorders>
              <w:top w:val="nil"/>
              <w:left w:val="nil"/>
              <w:bottom w:val="single" w:sz="4" w:space="0" w:color="auto"/>
              <w:right w:val="single" w:sz="4" w:space="0" w:color="auto"/>
            </w:tcBorders>
            <w:shd w:val="clear" w:color="000000" w:fill="FFFFFF"/>
            <w:noWrap/>
            <w:vAlign w:val="bottom"/>
            <w:hideMark/>
          </w:tcPr>
          <w:p w14:paraId="07ABEA2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155EE0CE"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F08FA4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114</w:t>
            </w:r>
          </w:p>
        </w:tc>
        <w:tc>
          <w:tcPr>
            <w:tcW w:w="3129" w:type="dxa"/>
            <w:tcBorders>
              <w:top w:val="nil"/>
              <w:left w:val="nil"/>
              <w:bottom w:val="single" w:sz="4" w:space="0" w:color="auto"/>
              <w:right w:val="single" w:sz="4" w:space="0" w:color="auto"/>
            </w:tcBorders>
            <w:shd w:val="clear" w:color="000000" w:fill="FFFFFF"/>
            <w:vAlign w:val="bottom"/>
            <w:hideMark/>
          </w:tcPr>
          <w:p w14:paraId="06772BE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Płytki do fluorescencji 96-dołkowe, czarne z przeźroczystym dnem</w:t>
            </w:r>
          </w:p>
        </w:tc>
        <w:tc>
          <w:tcPr>
            <w:tcW w:w="7264" w:type="dxa"/>
            <w:tcBorders>
              <w:top w:val="nil"/>
              <w:left w:val="nil"/>
              <w:bottom w:val="single" w:sz="4" w:space="0" w:color="auto"/>
              <w:right w:val="single" w:sz="4" w:space="0" w:color="auto"/>
            </w:tcBorders>
            <w:shd w:val="clear" w:color="000000" w:fill="FFFFFF"/>
            <w:vAlign w:val="bottom"/>
            <w:hideMark/>
          </w:tcPr>
          <w:p w14:paraId="24DCCF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Czarne płytki zaprojektowane by zmniejszyć wpływ tła i sygnałów krzyżowych w czasie testów fluorescencyjnych, modyfikowane dla optymalnego przylegania komórek, sterylizowane promieniowaniem gamma.</w:t>
            </w:r>
          </w:p>
        </w:tc>
        <w:tc>
          <w:tcPr>
            <w:tcW w:w="1584" w:type="dxa"/>
            <w:tcBorders>
              <w:top w:val="nil"/>
              <w:left w:val="nil"/>
              <w:bottom w:val="single" w:sz="4" w:space="0" w:color="auto"/>
              <w:right w:val="single" w:sz="4" w:space="0" w:color="auto"/>
            </w:tcBorders>
            <w:shd w:val="clear" w:color="000000" w:fill="FFFFFF"/>
            <w:noWrap/>
            <w:vAlign w:val="bottom"/>
            <w:hideMark/>
          </w:tcPr>
          <w:p w14:paraId="4609C3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48 szt.</w:t>
            </w:r>
          </w:p>
        </w:tc>
        <w:tc>
          <w:tcPr>
            <w:tcW w:w="787" w:type="dxa"/>
            <w:tcBorders>
              <w:top w:val="nil"/>
              <w:left w:val="nil"/>
              <w:bottom w:val="single" w:sz="4" w:space="0" w:color="auto"/>
              <w:right w:val="single" w:sz="4" w:space="0" w:color="auto"/>
            </w:tcBorders>
            <w:shd w:val="clear" w:color="000000" w:fill="FFFFFF"/>
            <w:noWrap/>
            <w:vAlign w:val="bottom"/>
            <w:hideMark/>
          </w:tcPr>
          <w:p w14:paraId="7FA26DE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67A1CBB9"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3E306F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115</w:t>
            </w:r>
          </w:p>
        </w:tc>
        <w:tc>
          <w:tcPr>
            <w:tcW w:w="3129" w:type="dxa"/>
            <w:tcBorders>
              <w:top w:val="nil"/>
              <w:left w:val="nil"/>
              <w:bottom w:val="single" w:sz="4" w:space="0" w:color="auto"/>
              <w:right w:val="single" w:sz="4" w:space="0" w:color="auto"/>
            </w:tcBorders>
            <w:shd w:val="clear" w:color="000000" w:fill="FFFFFF"/>
            <w:vAlign w:val="bottom"/>
            <w:hideMark/>
          </w:tcPr>
          <w:p w14:paraId="6790150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dimetylosulfotlenek</w:t>
            </w:r>
          </w:p>
        </w:tc>
        <w:tc>
          <w:tcPr>
            <w:tcW w:w="7264" w:type="dxa"/>
            <w:tcBorders>
              <w:top w:val="nil"/>
              <w:left w:val="nil"/>
              <w:bottom w:val="single" w:sz="4" w:space="0" w:color="auto"/>
              <w:right w:val="single" w:sz="4" w:space="0" w:color="auto"/>
            </w:tcBorders>
            <w:shd w:val="clear" w:color="000000" w:fill="FFFFFF"/>
            <w:vAlign w:val="bottom"/>
            <w:hideMark/>
          </w:tcPr>
          <w:p w14:paraId="1D8407A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dimetylosulfotlenek, czystość: ≥99.9% (DMSO), ACS, Numer CAS: 67-68-5</w:t>
            </w:r>
          </w:p>
        </w:tc>
        <w:tc>
          <w:tcPr>
            <w:tcW w:w="1584" w:type="dxa"/>
            <w:tcBorders>
              <w:top w:val="nil"/>
              <w:left w:val="nil"/>
              <w:bottom w:val="single" w:sz="4" w:space="0" w:color="auto"/>
              <w:right w:val="single" w:sz="4" w:space="0" w:color="auto"/>
            </w:tcBorders>
            <w:shd w:val="clear" w:color="000000" w:fill="FFFFFF"/>
            <w:noWrap/>
            <w:vAlign w:val="bottom"/>
            <w:hideMark/>
          </w:tcPr>
          <w:p w14:paraId="6D26AED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ml</w:t>
            </w:r>
          </w:p>
        </w:tc>
        <w:tc>
          <w:tcPr>
            <w:tcW w:w="787" w:type="dxa"/>
            <w:tcBorders>
              <w:top w:val="nil"/>
              <w:left w:val="nil"/>
              <w:bottom w:val="single" w:sz="4" w:space="0" w:color="auto"/>
              <w:right w:val="single" w:sz="4" w:space="0" w:color="auto"/>
            </w:tcBorders>
            <w:shd w:val="clear" w:color="000000" w:fill="FFFFFF"/>
            <w:noWrap/>
            <w:vAlign w:val="bottom"/>
            <w:hideMark/>
          </w:tcPr>
          <w:p w14:paraId="000F57A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5BC7CA9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5116B4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116</w:t>
            </w:r>
          </w:p>
        </w:tc>
        <w:tc>
          <w:tcPr>
            <w:tcW w:w="3129" w:type="dxa"/>
            <w:tcBorders>
              <w:top w:val="nil"/>
              <w:left w:val="nil"/>
              <w:bottom w:val="single" w:sz="4" w:space="0" w:color="auto"/>
              <w:right w:val="single" w:sz="4" w:space="0" w:color="auto"/>
            </w:tcBorders>
            <w:shd w:val="clear" w:color="000000" w:fill="FFFFFF"/>
            <w:vAlign w:val="bottom"/>
            <w:hideMark/>
          </w:tcPr>
          <w:p w14:paraId="484E2A1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octan potasu</w:t>
            </w:r>
          </w:p>
        </w:tc>
        <w:tc>
          <w:tcPr>
            <w:tcW w:w="7264" w:type="dxa"/>
            <w:tcBorders>
              <w:top w:val="nil"/>
              <w:left w:val="nil"/>
              <w:bottom w:val="single" w:sz="4" w:space="0" w:color="auto"/>
              <w:right w:val="single" w:sz="4" w:space="0" w:color="auto"/>
            </w:tcBorders>
            <w:shd w:val="clear" w:color="000000" w:fill="FFFFFF"/>
            <w:vAlign w:val="bottom"/>
            <w:hideMark/>
          </w:tcPr>
          <w:p w14:paraId="79B161E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octan potasu, czystość: ≥99%, ACS, Numer CAS: 127-08-2</w:t>
            </w:r>
          </w:p>
        </w:tc>
        <w:tc>
          <w:tcPr>
            <w:tcW w:w="1584" w:type="dxa"/>
            <w:tcBorders>
              <w:top w:val="nil"/>
              <w:left w:val="nil"/>
              <w:bottom w:val="single" w:sz="4" w:space="0" w:color="auto"/>
              <w:right w:val="single" w:sz="4" w:space="0" w:color="auto"/>
            </w:tcBorders>
            <w:shd w:val="clear" w:color="000000" w:fill="FFFFFF"/>
            <w:noWrap/>
            <w:vAlign w:val="bottom"/>
            <w:hideMark/>
          </w:tcPr>
          <w:p w14:paraId="2506124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G</w:t>
            </w:r>
          </w:p>
        </w:tc>
        <w:tc>
          <w:tcPr>
            <w:tcW w:w="787" w:type="dxa"/>
            <w:tcBorders>
              <w:top w:val="nil"/>
              <w:left w:val="nil"/>
              <w:bottom w:val="single" w:sz="4" w:space="0" w:color="auto"/>
              <w:right w:val="single" w:sz="4" w:space="0" w:color="auto"/>
            </w:tcBorders>
            <w:shd w:val="clear" w:color="000000" w:fill="FFFFFF"/>
            <w:noWrap/>
            <w:vAlign w:val="bottom"/>
            <w:hideMark/>
          </w:tcPr>
          <w:p w14:paraId="74F7A6D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D5398DB"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AB4BA7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117</w:t>
            </w:r>
          </w:p>
        </w:tc>
        <w:tc>
          <w:tcPr>
            <w:tcW w:w="3129" w:type="dxa"/>
            <w:tcBorders>
              <w:top w:val="nil"/>
              <w:left w:val="nil"/>
              <w:bottom w:val="single" w:sz="4" w:space="0" w:color="auto"/>
              <w:right w:val="single" w:sz="4" w:space="0" w:color="auto"/>
            </w:tcBorders>
            <w:shd w:val="clear" w:color="000000" w:fill="FFFFFF"/>
            <w:vAlign w:val="bottom"/>
            <w:hideMark/>
          </w:tcPr>
          <w:p w14:paraId="2262EB8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chlorek amonu</w:t>
            </w:r>
          </w:p>
        </w:tc>
        <w:tc>
          <w:tcPr>
            <w:tcW w:w="7264" w:type="dxa"/>
            <w:tcBorders>
              <w:top w:val="nil"/>
              <w:left w:val="nil"/>
              <w:bottom w:val="single" w:sz="4" w:space="0" w:color="auto"/>
              <w:right w:val="single" w:sz="4" w:space="0" w:color="auto"/>
            </w:tcBorders>
            <w:shd w:val="clear" w:color="000000" w:fill="FFFFFF"/>
            <w:vAlign w:val="bottom"/>
            <w:hideMark/>
          </w:tcPr>
          <w:p w14:paraId="47F29AF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Chlorek amonu, czystość: ≥99.5%, ACS, Numer CAS: 12125-02-9</w:t>
            </w:r>
          </w:p>
        </w:tc>
        <w:tc>
          <w:tcPr>
            <w:tcW w:w="1584" w:type="dxa"/>
            <w:tcBorders>
              <w:top w:val="nil"/>
              <w:left w:val="nil"/>
              <w:bottom w:val="single" w:sz="4" w:space="0" w:color="auto"/>
              <w:right w:val="single" w:sz="4" w:space="0" w:color="auto"/>
            </w:tcBorders>
            <w:shd w:val="clear" w:color="000000" w:fill="FFFFFF"/>
            <w:noWrap/>
            <w:vAlign w:val="bottom"/>
            <w:hideMark/>
          </w:tcPr>
          <w:p w14:paraId="4130F34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G</w:t>
            </w:r>
          </w:p>
        </w:tc>
        <w:tc>
          <w:tcPr>
            <w:tcW w:w="787" w:type="dxa"/>
            <w:tcBorders>
              <w:top w:val="nil"/>
              <w:left w:val="nil"/>
              <w:bottom w:val="single" w:sz="4" w:space="0" w:color="auto"/>
              <w:right w:val="single" w:sz="4" w:space="0" w:color="auto"/>
            </w:tcBorders>
            <w:shd w:val="clear" w:color="000000" w:fill="FFFFFF"/>
            <w:noWrap/>
            <w:vAlign w:val="bottom"/>
            <w:hideMark/>
          </w:tcPr>
          <w:p w14:paraId="0DF14E4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F57C16F"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B1BFED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118</w:t>
            </w:r>
          </w:p>
        </w:tc>
        <w:tc>
          <w:tcPr>
            <w:tcW w:w="3129" w:type="dxa"/>
            <w:tcBorders>
              <w:top w:val="nil"/>
              <w:left w:val="nil"/>
              <w:bottom w:val="single" w:sz="4" w:space="0" w:color="auto"/>
              <w:right w:val="single" w:sz="4" w:space="0" w:color="auto"/>
            </w:tcBorders>
            <w:shd w:val="clear" w:color="000000" w:fill="FFFFFF"/>
            <w:vAlign w:val="bottom"/>
            <w:hideMark/>
          </w:tcPr>
          <w:p w14:paraId="4C0BA27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Szpatułka Drigalskiego</w:t>
            </w:r>
          </w:p>
        </w:tc>
        <w:tc>
          <w:tcPr>
            <w:tcW w:w="7264" w:type="dxa"/>
            <w:tcBorders>
              <w:top w:val="nil"/>
              <w:left w:val="nil"/>
              <w:bottom w:val="single" w:sz="4" w:space="0" w:color="auto"/>
              <w:right w:val="single" w:sz="4" w:space="0" w:color="auto"/>
            </w:tcBorders>
            <w:shd w:val="clear" w:color="000000" w:fill="FFFFFF"/>
            <w:vAlign w:val="bottom"/>
            <w:hideMark/>
          </w:tcPr>
          <w:p w14:paraId="7564A9C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Głaszczka do mikrobiologii, do posiewów bakterii na powierzchnie stałe</w:t>
            </w:r>
          </w:p>
        </w:tc>
        <w:tc>
          <w:tcPr>
            <w:tcW w:w="1584" w:type="dxa"/>
            <w:tcBorders>
              <w:top w:val="nil"/>
              <w:left w:val="nil"/>
              <w:bottom w:val="single" w:sz="4" w:space="0" w:color="auto"/>
              <w:right w:val="single" w:sz="4" w:space="0" w:color="auto"/>
            </w:tcBorders>
            <w:shd w:val="clear" w:color="000000" w:fill="FFFFFF"/>
            <w:noWrap/>
            <w:vAlign w:val="bottom"/>
            <w:hideMark/>
          </w:tcPr>
          <w:p w14:paraId="31D370B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szt.</w:t>
            </w:r>
          </w:p>
        </w:tc>
        <w:tc>
          <w:tcPr>
            <w:tcW w:w="787" w:type="dxa"/>
            <w:tcBorders>
              <w:top w:val="nil"/>
              <w:left w:val="nil"/>
              <w:bottom w:val="single" w:sz="4" w:space="0" w:color="auto"/>
              <w:right w:val="single" w:sz="4" w:space="0" w:color="auto"/>
            </w:tcBorders>
            <w:shd w:val="clear" w:color="000000" w:fill="FFFFFF"/>
            <w:noWrap/>
            <w:vAlign w:val="bottom"/>
            <w:hideMark/>
          </w:tcPr>
          <w:p w14:paraId="1797384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6621B69B"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4A4828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119</w:t>
            </w:r>
          </w:p>
        </w:tc>
        <w:tc>
          <w:tcPr>
            <w:tcW w:w="3129" w:type="dxa"/>
            <w:tcBorders>
              <w:top w:val="nil"/>
              <w:left w:val="nil"/>
              <w:bottom w:val="single" w:sz="4" w:space="0" w:color="auto"/>
              <w:right w:val="single" w:sz="4" w:space="0" w:color="auto"/>
            </w:tcBorders>
            <w:shd w:val="clear" w:color="000000" w:fill="FFFFFF"/>
            <w:vAlign w:val="bottom"/>
            <w:hideMark/>
          </w:tcPr>
          <w:p w14:paraId="363098F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sól sodowa ampicyliny</w:t>
            </w:r>
          </w:p>
        </w:tc>
        <w:tc>
          <w:tcPr>
            <w:tcW w:w="7264" w:type="dxa"/>
            <w:tcBorders>
              <w:top w:val="nil"/>
              <w:left w:val="nil"/>
              <w:bottom w:val="single" w:sz="4" w:space="0" w:color="auto"/>
              <w:right w:val="single" w:sz="4" w:space="0" w:color="auto"/>
            </w:tcBorders>
            <w:shd w:val="clear" w:color="000000" w:fill="FFFFFF"/>
            <w:vAlign w:val="bottom"/>
            <w:hideMark/>
          </w:tcPr>
          <w:p w14:paraId="0169E5E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sól sodowa ampicyliny, 91.0-102.0%, Numer CAS: 69-52-3</w:t>
            </w:r>
          </w:p>
        </w:tc>
        <w:tc>
          <w:tcPr>
            <w:tcW w:w="1584" w:type="dxa"/>
            <w:tcBorders>
              <w:top w:val="nil"/>
              <w:left w:val="nil"/>
              <w:bottom w:val="single" w:sz="4" w:space="0" w:color="auto"/>
              <w:right w:val="single" w:sz="4" w:space="0" w:color="auto"/>
            </w:tcBorders>
            <w:shd w:val="clear" w:color="000000" w:fill="FFFFFF"/>
            <w:noWrap/>
            <w:vAlign w:val="bottom"/>
            <w:hideMark/>
          </w:tcPr>
          <w:p w14:paraId="56A46C2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G</w:t>
            </w:r>
          </w:p>
        </w:tc>
        <w:tc>
          <w:tcPr>
            <w:tcW w:w="787" w:type="dxa"/>
            <w:tcBorders>
              <w:top w:val="nil"/>
              <w:left w:val="nil"/>
              <w:bottom w:val="single" w:sz="4" w:space="0" w:color="auto"/>
              <w:right w:val="single" w:sz="4" w:space="0" w:color="auto"/>
            </w:tcBorders>
            <w:shd w:val="clear" w:color="000000" w:fill="FFFFFF"/>
            <w:noWrap/>
            <w:vAlign w:val="bottom"/>
            <w:hideMark/>
          </w:tcPr>
          <w:p w14:paraId="7CD72E8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1EB0212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6673AF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120</w:t>
            </w:r>
          </w:p>
        </w:tc>
        <w:tc>
          <w:tcPr>
            <w:tcW w:w="3129" w:type="dxa"/>
            <w:tcBorders>
              <w:top w:val="nil"/>
              <w:left w:val="nil"/>
              <w:bottom w:val="single" w:sz="4" w:space="0" w:color="auto"/>
              <w:right w:val="single" w:sz="4" w:space="0" w:color="auto"/>
            </w:tcBorders>
            <w:shd w:val="clear" w:color="000000" w:fill="FFFFFF"/>
            <w:vAlign w:val="bottom"/>
            <w:hideMark/>
          </w:tcPr>
          <w:p w14:paraId="314EDE3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Płytki do PCR 96-dołkowe do termocyklera Roche LightCycler 480</w:t>
            </w:r>
          </w:p>
        </w:tc>
        <w:tc>
          <w:tcPr>
            <w:tcW w:w="7264" w:type="dxa"/>
            <w:tcBorders>
              <w:top w:val="nil"/>
              <w:left w:val="nil"/>
              <w:bottom w:val="single" w:sz="4" w:space="0" w:color="auto"/>
              <w:right w:val="single" w:sz="4" w:space="0" w:color="auto"/>
            </w:tcBorders>
            <w:shd w:val="clear" w:color="000000" w:fill="FFFFFF"/>
            <w:vAlign w:val="bottom"/>
            <w:hideMark/>
          </w:tcPr>
          <w:p w14:paraId="39AFC9C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Niskoprofilowe mikropłytki wykonane z PP (białe) z  z folią uszczelniającą kompatybilne z termocyklerem Roche LightCycler 480</w:t>
            </w:r>
          </w:p>
        </w:tc>
        <w:tc>
          <w:tcPr>
            <w:tcW w:w="1584" w:type="dxa"/>
            <w:tcBorders>
              <w:top w:val="nil"/>
              <w:left w:val="nil"/>
              <w:bottom w:val="single" w:sz="4" w:space="0" w:color="auto"/>
              <w:right w:val="single" w:sz="4" w:space="0" w:color="auto"/>
            </w:tcBorders>
            <w:shd w:val="clear" w:color="000000" w:fill="FFFFFF"/>
            <w:noWrap/>
            <w:vAlign w:val="bottom"/>
            <w:hideMark/>
          </w:tcPr>
          <w:p w14:paraId="27DDDE4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szt.</w:t>
            </w:r>
          </w:p>
        </w:tc>
        <w:tc>
          <w:tcPr>
            <w:tcW w:w="787" w:type="dxa"/>
            <w:tcBorders>
              <w:top w:val="nil"/>
              <w:left w:val="nil"/>
              <w:bottom w:val="single" w:sz="4" w:space="0" w:color="auto"/>
              <w:right w:val="single" w:sz="4" w:space="0" w:color="auto"/>
            </w:tcBorders>
            <w:shd w:val="clear" w:color="000000" w:fill="FFFFFF"/>
            <w:noWrap/>
            <w:vAlign w:val="bottom"/>
            <w:hideMark/>
          </w:tcPr>
          <w:p w14:paraId="05A4CF4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1E9BEDFA"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A439010"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0CFABB7D"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09F75FB0"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 xml:space="preserve">Opis cech artykułu lub rónorzędnego artykułu </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721E9C08"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1B54C87C"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1BE0E5FC"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5F055A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6B7743CD"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7:  Zestaw - Enzymy restrykcyjne i odczynniki do oznaczeń RNA, DNA i białek</w:t>
            </w:r>
          </w:p>
        </w:tc>
        <w:tc>
          <w:tcPr>
            <w:tcW w:w="1584" w:type="dxa"/>
            <w:tcBorders>
              <w:top w:val="nil"/>
              <w:left w:val="nil"/>
              <w:bottom w:val="nil"/>
              <w:right w:val="nil"/>
            </w:tcBorders>
            <w:shd w:val="clear" w:color="000000" w:fill="D9D9D9"/>
            <w:noWrap/>
            <w:vAlign w:val="bottom"/>
            <w:hideMark/>
          </w:tcPr>
          <w:p w14:paraId="5970F75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787" w:type="dxa"/>
            <w:tcBorders>
              <w:top w:val="nil"/>
              <w:left w:val="nil"/>
              <w:bottom w:val="nil"/>
              <w:right w:val="nil"/>
            </w:tcBorders>
            <w:shd w:val="clear" w:color="000000" w:fill="D9D9D9"/>
            <w:noWrap/>
            <w:vAlign w:val="bottom"/>
            <w:hideMark/>
          </w:tcPr>
          <w:p w14:paraId="5DCCFBB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21B435C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DE3B3D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vAlign w:val="bottom"/>
            <w:hideMark/>
          </w:tcPr>
          <w:p w14:paraId="4377EB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PaeI (SphI)</w:t>
            </w:r>
          </w:p>
        </w:tc>
        <w:tc>
          <w:tcPr>
            <w:tcW w:w="7264" w:type="dxa"/>
            <w:tcBorders>
              <w:top w:val="nil"/>
              <w:left w:val="nil"/>
              <w:bottom w:val="single" w:sz="4" w:space="0" w:color="auto"/>
              <w:right w:val="single" w:sz="4" w:space="0" w:color="auto"/>
            </w:tcBorders>
            <w:shd w:val="clear" w:color="000000" w:fill="FFFFFF"/>
            <w:vAlign w:val="bottom"/>
            <w:hideMark/>
          </w:tcPr>
          <w:p w14:paraId="6A8F42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PaeI (lub izoschizomer SphI), szybkie trawienie w 5 min, zestaw zawierający enzym i bufor do reakcji</w:t>
            </w:r>
          </w:p>
        </w:tc>
        <w:tc>
          <w:tcPr>
            <w:tcW w:w="1584" w:type="dxa"/>
            <w:tcBorders>
              <w:top w:val="single" w:sz="4" w:space="0" w:color="auto"/>
              <w:left w:val="nil"/>
              <w:bottom w:val="single" w:sz="4" w:space="0" w:color="auto"/>
              <w:right w:val="single" w:sz="4" w:space="0" w:color="auto"/>
            </w:tcBorders>
            <w:shd w:val="clear" w:color="000000" w:fill="FFFFFF"/>
            <w:noWrap/>
            <w:vAlign w:val="bottom"/>
            <w:hideMark/>
          </w:tcPr>
          <w:p w14:paraId="14EFB3C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 reakcji</w:t>
            </w:r>
          </w:p>
        </w:tc>
        <w:tc>
          <w:tcPr>
            <w:tcW w:w="787" w:type="dxa"/>
            <w:tcBorders>
              <w:top w:val="single" w:sz="4" w:space="0" w:color="auto"/>
              <w:left w:val="nil"/>
              <w:bottom w:val="single" w:sz="4" w:space="0" w:color="auto"/>
              <w:right w:val="single" w:sz="4" w:space="0" w:color="auto"/>
            </w:tcBorders>
            <w:shd w:val="clear" w:color="000000" w:fill="FFFFFF"/>
            <w:vAlign w:val="center"/>
            <w:hideMark/>
          </w:tcPr>
          <w:p w14:paraId="4ACFD1E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0545DE5A"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97FE93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vAlign w:val="bottom"/>
            <w:hideMark/>
          </w:tcPr>
          <w:p w14:paraId="5B2389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EcoRI</w:t>
            </w:r>
          </w:p>
        </w:tc>
        <w:tc>
          <w:tcPr>
            <w:tcW w:w="7264" w:type="dxa"/>
            <w:tcBorders>
              <w:top w:val="nil"/>
              <w:left w:val="nil"/>
              <w:bottom w:val="single" w:sz="4" w:space="0" w:color="auto"/>
              <w:right w:val="single" w:sz="4" w:space="0" w:color="auto"/>
            </w:tcBorders>
            <w:shd w:val="clear" w:color="000000" w:fill="FFFFFF"/>
            <w:vAlign w:val="bottom"/>
            <w:hideMark/>
          </w:tcPr>
          <w:p w14:paraId="7D68544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EcoRI,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267522B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800 reakcji</w:t>
            </w:r>
          </w:p>
        </w:tc>
        <w:tc>
          <w:tcPr>
            <w:tcW w:w="787" w:type="dxa"/>
            <w:tcBorders>
              <w:top w:val="nil"/>
              <w:left w:val="nil"/>
              <w:bottom w:val="single" w:sz="4" w:space="0" w:color="auto"/>
              <w:right w:val="single" w:sz="4" w:space="0" w:color="auto"/>
            </w:tcBorders>
            <w:shd w:val="clear" w:color="000000" w:fill="FFFFFF"/>
            <w:vAlign w:val="center"/>
            <w:hideMark/>
          </w:tcPr>
          <w:p w14:paraId="76C1D64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502E80A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6FC8AF"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vAlign w:val="bottom"/>
            <w:hideMark/>
          </w:tcPr>
          <w:p w14:paraId="2F72BEF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Eco32I(EcoRV)</w:t>
            </w:r>
          </w:p>
        </w:tc>
        <w:tc>
          <w:tcPr>
            <w:tcW w:w="7264" w:type="dxa"/>
            <w:tcBorders>
              <w:top w:val="nil"/>
              <w:left w:val="nil"/>
              <w:bottom w:val="single" w:sz="4" w:space="0" w:color="auto"/>
              <w:right w:val="single" w:sz="4" w:space="0" w:color="auto"/>
            </w:tcBorders>
            <w:shd w:val="clear" w:color="000000" w:fill="FFFFFF"/>
            <w:vAlign w:val="bottom"/>
            <w:hideMark/>
          </w:tcPr>
          <w:p w14:paraId="6013BD1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Eco32I (lub izoschizomer EcoRV),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704A65F5"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2 000 U</w:t>
            </w:r>
          </w:p>
        </w:tc>
        <w:tc>
          <w:tcPr>
            <w:tcW w:w="787" w:type="dxa"/>
            <w:tcBorders>
              <w:top w:val="nil"/>
              <w:left w:val="nil"/>
              <w:bottom w:val="single" w:sz="4" w:space="0" w:color="auto"/>
              <w:right w:val="single" w:sz="4" w:space="0" w:color="auto"/>
            </w:tcBorders>
            <w:shd w:val="clear" w:color="000000" w:fill="FFFFFF"/>
            <w:vAlign w:val="center"/>
            <w:hideMark/>
          </w:tcPr>
          <w:p w14:paraId="71366E3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D7021AA"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30A76B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6378069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KpnI</w:t>
            </w:r>
          </w:p>
        </w:tc>
        <w:tc>
          <w:tcPr>
            <w:tcW w:w="7264" w:type="dxa"/>
            <w:tcBorders>
              <w:top w:val="nil"/>
              <w:left w:val="nil"/>
              <w:bottom w:val="single" w:sz="4" w:space="0" w:color="auto"/>
              <w:right w:val="single" w:sz="4" w:space="0" w:color="auto"/>
            </w:tcBorders>
            <w:shd w:val="clear" w:color="000000" w:fill="FFFFFF"/>
            <w:vAlign w:val="bottom"/>
            <w:hideMark/>
          </w:tcPr>
          <w:p w14:paraId="0EA2BC9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KpnI,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14296A2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300 reakcji</w:t>
            </w:r>
          </w:p>
        </w:tc>
        <w:tc>
          <w:tcPr>
            <w:tcW w:w="787" w:type="dxa"/>
            <w:tcBorders>
              <w:top w:val="nil"/>
              <w:left w:val="nil"/>
              <w:bottom w:val="single" w:sz="4" w:space="0" w:color="auto"/>
              <w:right w:val="single" w:sz="4" w:space="0" w:color="auto"/>
            </w:tcBorders>
            <w:shd w:val="clear" w:color="000000" w:fill="FFFFFF"/>
            <w:vAlign w:val="center"/>
            <w:hideMark/>
          </w:tcPr>
          <w:p w14:paraId="13DA6C0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75B0520C"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1C842A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vAlign w:val="bottom"/>
            <w:hideMark/>
          </w:tcPr>
          <w:p w14:paraId="4AB2274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Eco31I (BsaI)</w:t>
            </w:r>
          </w:p>
        </w:tc>
        <w:tc>
          <w:tcPr>
            <w:tcW w:w="7264" w:type="dxa"/>
            <w:tcBorders>
              <w:top w:val="nil"/>
              <w:left w:val="nil"/>
              <w:bottom w:val="single" w:sz="4" w:space="0" w:color="auto"/>
              <w:right w:val="single" w:sz="4" w:space="0" w:color="auto"/>
            </w:tcBorders>
            <w:shd w:val="clear" w:color="000000" w:fill="FFFFFF"/>
            <w:vAlign w:val="bottom"/>
            <w:hideMark/>
          </w:tcPr>
          <w:p w14:paraId="2F9ADA5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Eco31I (lub izoschizomer BsaI),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62B710D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vAlign w:val="center"/>
            <w:hideMark/>
          </w:tcPr>
          <w:p w14:paraId="240F2FF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786A66B0"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8489A7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c>
          <w:tcPr>
            <w:tcW w:w="3129" w:type="dxa"/>
            <w:tcBorders>
              <w:top w:val="nil"/>
              <w:left w:val="nil"/>
              <w:bottom w:val="single" w:sz="4" w:space="0" w:color="auto"/>
              <w:right w:val="single" w:sz="4" w:space="0" w:color="auto"/>
            </w:tcBorders>
            <w:shd w:val="clear" w:color="000000" w:fill="FFFFFF"/>
            <w:vAlign w:val="bottom"/>
            <w:hideMark/>
          </w:tcPr>
          <w:p w14:paraId="645A5D5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SacI</w:t>
            </w:r>
          </w:p>
        </w:tc>
        <w:tc>
          <w:tcPr>
            <w:tcW w:w="7264" w:type="dxa"/>
            <w:tcBorders>
              <w:top w:val="nil"/>
              <w:left w:val="nil"/>
              <w:bottom w:val="single" w:sz="4" w:space="0" w:color="auto"/>
              <w:right w:val="single" w:sz="4" w:space="0" w:color="auto"/>
            </w:tcBorders>
            <w:shd w:val="clear" w:color="000000" w:fill="FFFFFF"/>
            <w:vAlign w:val="bottom"/>
            <w:hideMark/>
          </w:tcPr>
          <w:p w14:paraId="79BB761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SacI,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27AF60D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200 reakcji</w:t>
            </w:r>
          </w:p>
        </w:tc>
        <w:tc>
          <w:tcPr>
            <w:tcW w:w="787" w:type="dxa"/>
            <w:tcBorders>
              <w:top w:val="nil"/>
              <w:left w:val="nil"/>
              <w:bottom w:val="single" w:sz="4" w:space="0" w:color="auto"/>
              <w:right w:val="single" w:sz="4" w:space="0" w:color="auto"/>
            </w:tcBorders>
            <w:shd w:val="clear" w:color="000000" w:fill="FFFFFF"/>
            <w:vAlign w:val="center"/>
            <w:hideMark/>
          </w:tcPr>
          <w:p w14:paraId="0E2339B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1C487D4"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4F2712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w:t>
            </w:r>
          </w:p>
        </w:tc>
        <w:tc>
          <w:tcPr>
            <w:tcW w:w="3129" w:type="dxa"/>
            <w:tcBorders>
              <w:top w:val="nil"/>
              <w:left w:val="nil"/>
              <w:bottom w:val="single" w:sz="4" w:space="0" w:color="auto"/>
              <w:right w:val="single" w:sz="4" w:space="0" w:color="auto"/>
            </w:tcBorders>
            <w:shd w:val="clear" w:color="000000" w:fill="FFFFFF"/>
            <w:vAlign w:val="bottom"/>
            <w:hideMark/>
          </w:tcPr>
          <w:p w14:paraId="03EB27A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XbaI</w:t>
            </w:r>
          </w:p>
        </w:tc>
        <w:tc>
          <w:tcPr>
            <w:tcW w:w="7264" w:type="dxa"/>
            <w:tcBorders>
              <w:top w:val="nil"/>
              <w:left w:val="nil"/>
              <w:bottom w:val="single" w:sz="4" w:space="0" w:color="auto"/>
              <w:right w:val="single" w:sz="4" w:space="0" w:color="auto"/>
            </w:tcBorders>
            <w:shd w:val="clear" w:color="000000" w:fill="FFFFFF"/>
            <w:vAlign w:val="bottom"/>
            <w:hideMark/>
          </w:tcPr>
          <w:p w14:paraId="6F5D06A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XbaI,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5ED4744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300 reakcji</w:t>
            </w:r>
          </w:p>
        </w:tc>
        <w:tc>
          <w:tcPr>
            <w:tcW w:w="787" w:type="dxa"/>
            <w:tcBorders>
              <w:top w:val="nil"/>
              <w:left w:val="nil"/>
              <w:bottom w:val="single" w:sz="4" w:space="0" w:color="auto"/>
              <w:right w:val="single" w:sz="4" w:space="0" w:color="auto"/>
            </w:tcBorders>
            <w:shd w:val="clear" w:color="000000" w:fill="FFFFFF"/>
            <w:vAlign w:val="center"/>
            <w:hideMark/>
          </w:tcPr>
          <w:p w14:paraId="177EAD2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65C9C7E"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B9BBCB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40A467B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BglII</w:t>
            </w:r>
          </w:p>
        </w:tc>
        <w:tc>
          <w:tcPr>
            <w:tcW w:w="7264" w:type="dxa"/>
            <w:tcBorders>
              <w:top w:val="nil"/>
              <w:left w:val="nil"/>
              <w:bottom w:val="single" w:sz="4" w:space="0" w:color="auto"/>
              <w:right w:val="single" w:sz="4" w:space="0" w:color="auto"/>
            </w:tcBorders>
            <w:shd w:val="clear" w:color="000000" w:fill="FFFFFF"/>
            <w:vAlign w:val="bottom"/>
            <w:hideMark/>
          </w:tcPr>
          <w:p w14:paraId="7E2BB52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BglII,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6DD101D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064168C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75437D21"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9EC423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9</w:t>
            </w:r>
          </w:p>
        </w:tc>
        <w:tc>
          <w:tcPr>
            <w:tcW w:w="3129" w:type="dxa"/>
            <w:tcBorders>
              <w:top w:val="nil"/>
              <w:left w:val="nil"/>
              <w:bottom w:val="single" w:sz="4" w:space="0" w:color="auto"/>
              <w:right w:val="single" w:sz="4" w:space="0" w:color="auto"/>
            </w:tcBorders>
            <w:shd w:val="clear" w:color="000000" w:fill="FFFFFF"/>
            <w:vAlign w:val="bottom"/>
            <w:hideMark/>
          </w:tcPr>
          <w:p w14:paraId="77B5643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SmaI</w:t>
            </w:r>
          </w:p>
        </w:tc>
        <w:tc>
          <w:tcPr>
            <w:tcW w:w="7264" w:type="dxa"/>
            <w:tcBorders>
              <w:top w:val="nil"/>
              <w:left w:val="nil"/>
              <w:bottom w:val="single" w:sz="4" w:space="0" w:color="auto"/>
              <w:right w:val="single" w:sz="4" w:space="0" w:color="auto"/>
            </w:tcBorders>
            <w:shd w:val="clear" w:color="000000" w:fill="FFFFFF"/>
            <w:vAlign w:val="bottom"/>
            <w:hideMark/>
          </w:tcPr>
          <w:p w14:paraId="04D368C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SmaI,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3D67746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44EA8D8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355D1500"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924511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c>
          <w:tcPr>
            <w:tcW w:w="3129" w:type="dxa"/>
            <w:tcBorders>
              <w:top w:val="nil"/>
              <w:left w:val="nil"/>
              <w:bottom w:val="single" w:sz="4" w:space="0" w:color="auto"/>
              <w:right w:val="single" w:sz="4" w:space="0" w:color="auto"/>
            </w:tcBorders>
            <w:shd w:val="clear" w:color="000000" w:fill="FFFFFF"/>
            <w:vAlign w:val="bottom"/>
            <w:hideMark/>
          </w:tcPr>
          <w:p w14:paraId="414729E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AatII</w:t>
            </w:r>
          </w:p>
        </w:tc>
        <w:tc>
          <w:tcPr>
            <w:tcW w:w="7264" w:type="dxa"/>
            <w:tcBorders>
              <w:top w:val="nil"/>
              <w:left w:val="nil"/>
              <w:bottom w:val="single" w:sz="4" w:space="0" w:color="auto"/>
              <w:right w:val="single" w:sz="4" w:space="0" w:color="auto"/>
            </w:tcBorders>
            <w:shd w:val="clear" w:color="000000" w:fill="FFFFFF"/>
            <w:vAlign w:val="bottom"/>
            <w:hideMark/>
          </w:tcPr>
          <w:p w14:paraId="62207C1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restrykcyjny AatII, szybkie trawienie w 5 min, zestaw zawierający enzym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1346003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7F81E5E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6C6E3595"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EFB6B4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1E4E76A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alkaliczna fosfataza</w:t>
            </w:r>
          </w:p>
        </w:tc>
        <w:tc>
          <w:tcPr>
            <w:tcW w:w="7264" w:type="dxa"/>
            <w:tcBorders>
              <w:top w:val="nil"/>
              <w:left w:val="nil"/>
              <w:bottom w:val="single" w:sz="4" w:space="0" w:color="auto"/>
              <w:right w:val="single" w:sz="4" w:space="0" w:color="auto"/>
            </w:tcBorders>
            <w:shd w:val="clear" w:color="000000" w:fill="FFFFFF"/>
            <w:vAlign w:val="bottom"/>
            <w:hideMark/>
          </w:tcPr>
          <w:p w14:paraId="432BB16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alkaliczna fosfataza, zestaw zawierający enzym rekombinowany typu Fast (FastAP) i bufor do reakcji</w:t>
            </w:r>
          </w:p>
        </w:tc>
        <w:tc>
          <w:tcPr>
            <w:tcW w:w="1584" w:type="dxa"/>
            <w:tcBorders>
              <w:top w:val="nil"/>
              <w:left w:val="nil"/>
              <w:bottom w:val="single" w:sz="4" w:space="0" w:color="auto"/>
              <w:right w:val="single" w:sz="4" w:space="0" w:color="auto"/>
            </w:tcBorders>
            <w:shd w:val="clear" w:color="000000" w:fill="FFFFFF"/>
            <w:noWrap/>
            <w:vAlign w:val="bottom"/>
            <w:hideMark/>
          </w:tcPr>
          <w:p w14:paraId="7E426F9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1 000 U</w:t>
            </w:r>
          </w:p>
        </w:tc>
        <w:tc>
          <w:tcPr>
            <w:tcW w:w="787" w:type="dxa"/>
            <w:tcBorders>
              <w:top w:val="nil"/>
              <w:left w:val="nil"/>
              <w:bottom w:val="single" w:sz="4" w:space="0" w:color="auto"/>
              <w:right w:val="single" w:sz="4" w:space="0" w:color="auto"/>
            </w:tcBorders>
            <w:shd w:val="clear" w:color="000000" w:fill="FFFFFF"/>
            <w:noWrap/>
            <w:vAlign w:val="center"/>
            <w:hideMark/>
          </w:tcPr>
          <w:p w14:paraId="55C11C7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0412765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B0A76F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c>
          <w:tcPr>
            <w:tcW w:w="3129" w:type="dxa"/>
            <w:tcBorders>
              <w:top w:val="nil"/>
              <w:left w:val="nil"/>
              <w:bottom w:val="single" w:sz="4" w:space="0" w:color="auto"/>
              <w:right w:val="single" w:sz="4" w:space="0" w:color="auto"/>
            </w:tcBorders>
            <w:shd w:val="clear" w:color="000000" w:fill="FFFFFF"/>
            <w:vAlign w:val="bottom"/>
            <w:hideMark/>
          </w:tcPr>
          <w:p w14:paraId="3B83841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polimeraza Phusion</w:t>
            </w:r>
          </w:p>
        </w:tc>
        <w:tc>
          <w:tcPr>
            <w:tcW w:w="7264" w:type="dxa"/>
            <w:tcBorders>
              <w:top w:val="nil"/>
              <w:left w:val="nil"/>
              <w:bottom w:val="single" w:sz="4" w:space="0" w:color="auto"/>
              <w:right w:val="single" w:sz="4" w:space="0" w:color="auto"/>
            </w:tcBorders>
            <w:shd w:val="clear" w:color="000000" w:fill="FFFFFF"/>
            <w:vAlign w:val="bottom"/>
            <w:hideMark/>
          </w:tcPr>
          <w:p w14:paraId="3F6EC7A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polimeraza Phusion DNA, termowrażliwa, o wysokiej wierności </w:t>
            </w:r>
          </w:p>
        </w:tc>
        <w:tc>
          <w:tcPr>
            <w:tcW w:w="1584" w:type="dxa"/>
            <w:tcBorders>
              <w:top w:val="nil"/>
              <w:left w:val="nil"/>
              <w:bottom w:val="single" w:sz="4" w:space="0" w:color="auto"/>
              <w:right w:val="single" w:sz="4" w:space="0" w:color="auto"/>
            </w:tcBorders>
            <w:shd w:val="clear" w:color="000000" w:fill="FFFFFF"/>
            <w:noWrap/>
            <w:vAlign w:val="bottom"/>
            <w:hideMark/>
          </w:tcPr>
          <w:p w14:paraId="17ED7FE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U</w:t>
            </w:r>
          </w:p>
        </w:tc>
        <w:tc>
          <w:tcPr>
            <w:tcW w:w="787" w:type="dxa"/>
            <w:tcBorders>
              <w:top w:val="nil"/>
              <w:left w:val="nil"/>
              <w:bottom w:val="single" w:sz="4" w:space="0" w:color="auto"/>
              <w:right w:val="single" w:sz="4" w:space="0" w:color="auto"/>
            </w:tcBorders>
            <w:shd w:val="clear" w:color="000000" w:fill="FFFFFF"/>
            <w:noWrap/>
            <w:vAlign w:val="center"/>
            <w:hideMark/>
          </w:tcPr>
          <w:p w14:paraId="0D51540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r>
      <w:tr w:rsidR="00CB32F5" w:rsidRPr="00CB32F5" w14:paraId="5EBC342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35234C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13</w:t>
            </w:r>
          </w:p>
        </w:tc>
        <w:tc>
          <w:tcPr>
            <w:tcW w:w="3129" w:type="dxa"/>
            <w:tcBorders>
              <w:top w:val="nil"/>
              <w:left w:val="nil"/>
              <w:bottom w:val="single" w:sz="4" w:space="0" w:color="auto"/>
              <w:right w:val="single" w:sz="4" w:space="0" w:color="auto"/>
            </w:tcBorders>
            <w:shd w:val="clear" w:color="000000" w:fill="FFFFFF"/>
            <w:vAlign w:val="bottom"/>
            <w:hideMark/>
          </w:tcPr>
          <w:p w14:paraId="13C096D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do PCR z polimerazą Taq</w:t>
            </w:r>
          </w:p>
        </w:tc>
        <w:tc>
          <w:tcPr>
            <w:tcW w:w="7264" w:type="dxa"/>
            <w:tcBorders>
              <w:top w:val="nil"/>
              <w:left w:val="nil"/>
              <w:bottom w:val="single" w:sz="4" w:space="0" w:color="auto"/>
              <w:right w:val="single" w:sz="4" w:space="0" w:color="auto"/>
            </w:tcBorders>
            <w:shd w:val="clear" w:color="000000" w:fill="FFFFFF"/>
            <w:vAlign w:val="bottom"/>
            <w:hideMark/>
          </w:tcPr>
          <w:p w14:paraId="5E67349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2x stężona do PCR, zawierająca polimerazę Taq, bufor, MgCl</w:t>
            </w:r>
            <w:r w:rsidRPr="00CB32F5">
              <w:rPr>
                <w:rFonts w:ascii="Calibri" w:eastAsia="Times New Roman" w:hAnsi="Calibri" w:cs="Calibri"/>
                <w:color w:val="000000"/>
                <w:sz w:val="18"/>
                <w:szCs w:val="18"/>
                <w:vertAlign w:val="subscript"/>
                <w:lang w:eastAsia="pl-PL"/>
              </w:rPr>
              <w:t>2</w:t>
            </w:r>
            <w:r w:rsidRPr="00CB32F5">
              <w:rPr>
                <w:rFonts w:ascii="Calibri" w:eastAsia="Times New Roman" w:hAnsi="Calibri" w:cs="Calibri"/>
                <w:color w:val="000000"/>
                <w:sz w:val="18"/>
                <w:szCs w:val="18"/>
                <w:lang w:eastAsia="pl-PL"/>
              </w:rPr>
              <w:t xml:space="preserve">, dNTP </w:t>
            </w:r>
          </w:p>
        </w:tc>
        <w:tc>
          <w:tcPr>
            <w:tcW w:w="1584" w:type="dxa"/>
            <w:tcBorders>
              <w:top w:val="nil"/>
              <w:left w:val="nil"/>
              <w:bottom w:val="single" w:sz="4" w:space="0" w:color="auto"/>
              <w:right w:val="single" w:sz="4" w:space="0" w:color="auto"/>
            </w:tcBorders>
            <w:shd w:val="clear" w:color="000000" w:fill="FFFFFF"/>
            <w:noWrap/>
            <w:vAlign w:val="bottom"/>
            <w:hideMark/>
          </w:tcPr>
          <w:p w14:paraId="385A063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70AE032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53D4E938"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529AA89"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14</w:t>
            </w:r>
          </w:p>
        </w:tc>
        <w:tc>
          <w:tcPr>
            <w:tcW w:w="3129" w:type="dxa"/>
            <w:tcBorders>
              <w:top w:val="nil"/>
              <w:left w:val="nil"/>
              <w:bottom w:val="single" w:sz="4" w:space="0" w:color="auto"/>
              <w:right w:val="single" w:sz="4" w:space="0" w:color="auto"/>
            </w:tcBorders>
            <w:shd w:val="clear" w:color="000000" w:fill="FFFFFF"/>
            <w:vAlign w:val="bottom"/>
            <w:hideMark/>
          </w:tcPr>
          <w:p w14:paraId="5A8038F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dNTP</w:t>
            </w:r>
          </w:p>
        </w:tc>
        <w:tc>
          <w:tcPr>
            <w:tcW w:w="7264" w:type="dxa"/>
            <w:tcBorders>
              <w:top w:val="nil"/>
              <w:left w:val="nil"/>
              <w:bottom w:val="single" w:sz="4" w:space="0" w:color="auto"/>
              <w:right w:val="single" w:sz="4" w:space="0" w:color="auto"/>
            </w:tcBorders>
            <w:shd w:val="clear" w:color="000000" w:fill="FFFFFF"/>
            <w:vAlign w:val="bottom"/>
            <w:hideMark/>
          </w:tcPr>
          <w:p w14:paraId="0416247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mieszanina deoksyrybonukleotydów dATP, dCTP, dGTP i dTTP w stężeniu 10 mM każdy</w:t>
            </w:r>
          </w:p>
        </w:tc>
        <w:tc>
          <w:tcPr>
            <w:tcW w:w="1584" w:type="dxa"/>
            <w:tcBorders>
              <w:top w:val="nil"/>
              <w:left w:val="nil"/>
              <w:bottom w:val="single" w:sz="4" w:space="0" w:color="auto"/>
              <w:right w:val="single" w:sz="4" w:space="0" w:color="auto"/>
            </w:tcBorders>
            <w:shd w:val="clear" w:color="000000" w:fill="FFFFFF"/>
            <w:noWrap/>
            <w:vAlign w:val="bottom"/>
            <w:hideMark/>
          </w:tcPr>
          <w:p w14:paraId="608291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ml</w:t>
            </w:r>
          </w:p>
        </w:tc>
        <w:tc>
          <w:tcPr>
            <w:tcW w:w="787" w:type="dxa"/>
            <w:tcBorders>
              <w:top w:val="nil"/>
              <w:left w:val="nil"/>
              <w:bottom w:val="single" w:sz="4" w:space="0" w:color="auto"/>
              <w:right w:val="single" w:sz="4" w:space="0" w:color="auto"/>
            </w:tcBorders>
            <w:shd w:val="clear" w:color="000000" w:fill="FFFFFF"/>
            <w:noWrap/>
            <w:vAlign w:val="center"/>
            <w:hideMark/>
          </w:tcPr>
          <w:p w14:paraId="0C09177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580F7A7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A03F8C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756B2E7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ligaza T4</w:t>
            </w:r>
          </w:p>
        </w:tc>
        <w:tc>
          <w:tcPr>
            <w:tcW w:w="7264" w:type="dxa"/>
            <w:tcBorders>
              <w:top w:val="nil"/>
              <w:left w:val="nil"/>
              <w:bottom w:val="single" w:sz="4" w:space="0" w:color="auto"/>
              <w:right w:val="single" w:sz="4" w:space="0" w:color="auto"/>
            </w:tcBorders>
            <w:shd w:val="clear" w:color="000000" w:fill="FFFFFF"/>
            <w:vAlign w:val="bottom"/>
            <w:hideMark/>
          </w:tcPr>
          <w:p w14:paraId="2BE3C04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ligaza faga T4,  5U/µL, w zestawie bufor do reakcji i roztwór PEG</w:t>
            </w:r>
          </w:p>
        </w:tc>
        <w:tc>
          <w:tcPr>
            <w:tcW w:w="1584" w:type="dxa"/>
            <w:tcBorders>
              <w:top w:val="nil"/>
              <w:left w:val="nil"/>
              <w:bottom w:val="single" w:sz="4" w:space="0" w:color="auto"/>
              <w:right w:val="single" w:sz="4" w:space="0" w:color="auto"/>
            </w:tcBorders>
            <w:shd w:val="clear" w:color="000000" w:fill="FFFFFF"/>
            <w:noWrap/>
            <w:vAlign w:val="bottom"/>
            <w:hideMark/>
          </w:tcPr>
          <w:p w14:paraId="5B549DF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1000 U</w:t>
            </w:r>
          </w:p>
        </w:tc>
        <w:tc>
          <w:tcPr>
            <w:tcW w:w="787" w:type="dxa"/>
            <w:tcBorders>
              <w:top w:val="nil"/>
              <w:left w:val="nil"/>
              <w:bottom w:val="single" w:sz="4" w:space="0" w:color="auto"/>
              <w:right w:val="single" w:sz="4" w:space="0" w:color="auto"/>
            </w:tcBorders>
            <w:shd w:val="clear" w:color="000000" w:fill="FFFFFF"/>
            <w:noWrap/>
            <w:vAlign w:val="center"/>
            <w:hideMark/>
          </w:tcPr>
          <w:p w14:paraId="583DDB3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60057742"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4D9E48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16</w:t>
            </w:r>
          </w:p>
        </w:tc>
        <w:tc>
          <w:tcPr>
            <w:tcW w:w="3129" w:type="dxa"/>
            <w:tcBorders>
              <w:top w:val="nil"/>
              <w:left w:val="nil"/>
              <w:bottom w:val="single" w:sz="4" w:space="0" w:color="auto"/>
              <w:right w:val="single" w:sz="4" w:space="0" w:color="auto"/>
            </w:tcBorders>
            <w:shd w:val="clear" w:color="000000" w:fill="FFFFFF"/>
            <w:vAlign w:val="bottom"/>
            <w:hideMark/>
          </w:tcPr>
          <w:p w14:paraId="1620B27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RNA</w:t>
            </w:r>
          </w:p>
        </w:tc>
        <w:tc>
          <w:tcPr>
            <w:tcW w:w="7264" w:type="dxa"/>
            <w:tcBorders>
              <w:top w:val="nil"/>
              <w:left w:val="nil"/>
              <w:bottom w:val="single" w:sz="4" w:space="0" w:color="auto"/>
              <w:right w:val="single" w:sz="4" w:space="0" w:color="auto"/>
            </w:tcBorders>
            <w:shd w:val="clear" w:color="000000" w:fill="FFFFFF"/>
            <w:vAlign w:val="bottom"/>
            <w:hideMark/>
          </w:tcPr>
          <w:p w14:paraId="7F6C15A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RNA, szeroki zakres, do wykorzystania z fluorymetrem Qubit 4</w:t>
            </w:r>
          </w:p>
        </w:tc>
        <w:tc>
          <w:tcPr>
            <w:tcW w:w="1584" w:type="dxa"/>
            <w:tcBorders>
              <w:top w:val="nil"/>
              <w:left w:val="nil"/>
              <w:bottom w:val="single" w:sz="4" w:space="0" w:color="auto"/>
              <w:right w:val="single" w:sz="4" w:space="0" w:color="auto"/>
            </w:tcBorders>
            <w:shd w:val="clear" w:color="000000" w:fill="FFFFFF"/>
            <w:noWrap/>
            <w:vAlign w:val="bottom"/>
            <w:hideMark/>
          </w:tcPr>
          <w:p w14:paraId="7087F3B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2A9CE4E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BE7582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CBD11E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17</w:t>
            </w:r>
          </w:p>
        </w:tc>
        <w:tc>
          <w:tcPr>
            <w:tcW w:w="3129" w:type="dxa"/>
            <w:tcBorders>
              <w:top w:val="nil"/>
              <w:left w:val="nil"/>
              <w:bottom w:val="single" w:sz="4" w:space="0" w:color="auto"/>
              <w:right w:val="single" w:sz="4" w:space="0" w:color="auto"/>
            </w:tcBorders>
            <w:shd w:val="clear" w:color="000000" w:fill="FFFFFF"/>
            <w:vAlign w:val="bottom"/>
            <w:hideMark/>
          </w:tcPr>
          <w:p w14:paraId="0C65304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DNA</w:t>
            </w:r>
          </w:p>
        </w:tc>
        <w:tc>
          <w:tcPr>
            <w:tcW w:w="7264" w:type="dxa"/>
            <w:tcBorders>
              <w:top w:val="nil"/>
              <w:left w:val="nil"/>
              <w:bottom w:val="single" w:sz="4" w:space="0" w:color="auto"/>
              <w:right w:val="single" w:sz="4" w:space="0" w:color="auto"/>
            </w:tcBorders>
            <w:shd w:val="clear" w:color="000000" w:fill="FFFFFF"/>
            <w:vAlign w:val="bottom"/>
            <w:hideMark/>
          </w:tcPr>
          <w:p w14:paraId="20F9C75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dwuniciowego DNA, szeroki zaklres, do wykorzystania z fluorymetrem Qubit 4</w:t>
            </w:r>
          </w:p>
        </w:tc>
        <w:tc>
          <w:tcPr>
            <w:tcW w:w="1584" w:type="dxa"/>
            <w:tcBorders>
              <w:top w:val="nil"/>
              <w:left w:val="nil"/>
              <w:bottom w:val="single" w:sz="4" w:space="0" w:color="auto"/>
              <w:right w:val="single" w:sz="4" w:space="0" w:color="auto"/>
            </w:tcBorders>
            <w:shd w:val="clear" w:color="000000" w:fill="FFFFFF"/>
            <w:noWrap/>
            <w:vAlign w:val="bottom"/>
            <w:hideMark/>
          </w:tcPr>
          <w:p w14:paraId="2961539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15D15CF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AF865D8"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52D986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18</w:t>
            </w:r>
          </w:p>
        </w:tc>
        <w:tc>
          <w:tcPr>
            <w:tcW w:w="3129" w:type="dxa"/>
            <w:tcBorders>
              <w:top w:val="nil"/>
              <w:left w:val="nil"/>
              <w:bottom w:val="single" w:sz="4" w:space="0" w:color="auto"/>
              <w:right w:val="single" w:sz="4" w:space="0" w:color="auto"/>
            </w:tcBorders>
            <w:shd w:val="clear" w:color="000000" w:fill="FFFFFF"/>
            <w:vAlign w:val="bottom"/>
            <w:hideMark/>
          </w:tcPr>
          <w:p w14:paraId="113C5EC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białek</w:t>
            </w:r>
          </w:p>
        </w:tc>
        <w:tc>
          <w:tcPr>
            <w:tcW w:w="7264" w:type="dxa"/>
            <w:tcBorders>
              <w:top w:val="nil"/>
              <w:left w:val="nil"/>
              <w:bottom w:val="single" w:sz="4" w:space="0" w:color="auto"/>
              <w:right w:val="single" w:sz="4" w:space="0" w:color="auto"/>
            </w:tcBorders>
            <w:shd w:val="clear" w:color="000000" w:fill="FFFFFF"/>
            <w:vAlign w:val="bottom"/>
            <w:hideMark/>
          </w:tcPr>
          <w:p w14:paraId="540D4E2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stężenia białek, szeroki zakres, do wykorzystania z fluorymetrem Qubit 4</w:t>
            </w:r>
          </w:p>
        </w:tc>
        <w:tc>
          <w:tcPr>
            <w:tcW w:w="1584" w:type="dxa"/>
            <w:tcBorders>
              <w:top w:val="nil"/>
              <w:left w:val="nil"/>
              <w:bottom w:val="single" w:sz="4" w:space="0" w:color="auto"/>
              <w:right w:val="single" w:sz="4" w:space="0" w:color="auto"/>
            </w:tcBorders>
            <w:shd w:val="clear" w:color="000000" w:fill="FFFFFF"/>
            <w:noWrap/>
            <w:vAlign w:val="bottom"/>
            <w:hideMark/>
          </w:tcPr>
          <w:p w14:paraId="1D7B7DF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259D34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5A12063B"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667DE2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19</w:t>
            </w:r>
          </w:p>
        </w:tc>
        <w:tc>
          <w:tcPr>
            <w:tcW w:w="3129" w:type="dxa"/>
            <w:tcBorders>
              <w:top w:val="nil"/>
              <w:left w:val="nil"/>
              <w:bottom w:val="single" w:sz="4" w:space="0" w:color="auto"/>
              <w:right w:val="single" w:sz="4" w:space="0" w:color="auto"/>
            </w:tcBorders>
            <w:shd w:val="clear" w:color="000000" w:fill="FFFFFF"/>
            <w:vAlign w:val="bottom"/>
            <w:hideMark/>
          </w:tcPr>
          <w:p w14:paraId="19C200A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jakości i integralności RNA</w:t>
            </w:r>
          </w:p>
        </w:tc>
        <w:tc>
          <w:tcPr>
            <w:tcW w:w="7264" w:type="dxa"/>
            <w:tcBorders>
              <w:top w:val="nil"/>
              <w:left w:val="nil"/>
              <w:bottom w:val="single" w:sz="4" w:space="0" w:color="auto"/>
              <w:right w:val="single" w:sz="4" w:space="0" w:color="auto"/>
            </w:tcBorders>
            <w:shd w:val="clear" w:color="000000" w:fill="FFFFFF"/>
            <w:vAlign w:val="bottom"/>
            <w:hideMark/>
          </w:tcPr>
          <w:p w14:paraId="429F6D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oznaczania jakości i integralności RNA do wykorzystania z fluorymetrem Qubit 4</w:t>
            </w:r>
          </w:p>
        </w:tc>
        <w:tc>
          <w:tcPr>
            <w:tcW w:w="1584" w:type="dxa"/>
            <w:tcBorders>
              <w:top w:val="nil"/>
              <w:left w:val="nil"/>
              <w:bottom w:val="single" w:sz="4" w:space="0" w:color="auto"/>
              <w:right w:val="single" w:sz="4" w:space="0" w:color="auto"/>
            </w:tcBorders>
            <w:shd w:val="clear" w:color="000000" w:fill="FFFFFF"/>
            <w:noWrap/>
            <w:vAlign w:val="bottom"/>
            <w:hideMark/>
          </w:tcPr>
          <w:p w14:paraId="792CD3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75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47CB373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1F9752F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085E9B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c>
          <w:tcPr>
            <w:tcW w:w="3129" w:type="dxa"/>
            <w:tcBorders>
              <w:top w:val="nil"/>
              <w:left w:val="nil"/>
              <w:bottom w:val="single" w:sz="4" w:space="0" w:color="auto"/>
              <w:right w:val="single" w:sz="4" w:space="0" w:color="auto"/>
            </w:tcBorders>
            <w:shd w:val="clear" w:color="000000" w:fill="FFFFFF"/>
            <w:vAlign w:val="bottom"/>
            <w:hideMark/>
          </w:tcPr>
          <w:p w14:paraId="2C62E02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reakcyjne 500 µl</w:t>
            </w:r>
          </w:p>
        </w:tc>
        <w:tc>
          <w:tcPr>
            <w:tcW w:w="7264" w:type="dxa"/>
            <w:tcBorders>
              <w:top w:val="nil"/>
              <w:left w:val="nil"/>
              <w:bottom w:val="single" w:sz="4" w:space="0" w:color="auto"/>
              <w:right w:val="single" w:sz="4" w:space="0" w:color="auto"/>
            </w:tcBorders>
            <w:shd w:val="clear" w:color="000000" w:fill="FFFFFF"/>
            <w:vAlign w:val="bottom"/>
            <w:hideMark/>
          </w:tcPr>
          <w:p w14:paraId="683D07A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reakcyjne 500 µl, do oznaczeń fluorymetrem Qubit 4</w:t>
            </w:r>
          </w:p>
        </w:tc>
        <w:tc>
          <w:tcPr>
            <w:tcW w:w="1584" w:type="dxa"/>
            <w:tcBorders>
              <w:top w:val="nil"/>
              <w:left w:val="nil"/>
              <w:bottom w:val="single" w:sz="4" w:space="0" w:color="auto"/>
              <w:right w:val="single" w:sz="4" w:space="0" w:color="auto"/>
            </w:tcBorders>
            <w:shd w:val="clear" w:color="000000" w:fill="FFFFFF"/>
            <w:noWrap/>
            <w:vAlign w:val="bottom"/>
            <w:hideMark/>
          </w:tcPr>
          <w:p w14:paraId="085ADFA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szt</w:t>
            </w:r>
          </w:p>
        </w:tc>
        <w:tc>
          <w:tcPr>
            <w:tcW w:w="787" w:type="dxa"/>
            <w:tcBorders>
              <w:top w:val="nil"/>
              <w:left w:val="nil"/>
              <w:bottom w:val="single" w:sz="4" w:space="0" w:color="auto"/>
              <w:right w:val="single" w:sz="4" w:space="0" w:color="auto"/>
            </w:tcBorders>
            <w:shd w:val="clear" w:color="000000" w:fill="FFFFFF"/>
            <w:noWrap/>
            <w:vAlign w:val="center"/>
            <w:hideMark/>
          </w:tcPr>
          <w:p w14:paraId="2142ED5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34AA51F1"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B5657A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21</w:t>
            </w:r>
          </w:p>
        </w:tc>
        <w:tc>
          <w:tcPr>
            <w:tcW w:w="3129" w:type="dxa"/>
            <w:tcBorders>
              <w:top w:val="nil"/>
              <w:left w:val="nil"/>
              <w:bottom w:val="single" w:sz="4" w:space="0" w:color="auto"/>
              <w:right w:val="single" w:sz="4" w:space="0" w:color="auto"/>
            </w:tcBorders>
            <w:shd w:val="clear" w:color="000000" w:fill="FFFFFF"/>
            <w:vAlign w:val="bottom"/>
            <w:hideMark/>
          </w:tcPr>
          <w:p w14:paraId="0A6C47B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DNA plazmidowego</w:t>
            </w:r>
          </w:p>
        </w:tc>
        <w:tc>
          <w:tcPr>
            <w:tcW w:w="7264" w:type="dxa"/>
            <w:tcBorders>
              <w:top w:val="nil"/>
              <w:left w:val="nil"/>
              <w:bottom w:val="single" w:sz="4" w:space="0" w:color="auto"/>
              <w:right w:val="single" w:sz="4" w:space="0" w:color="auto"/>
            </w:tcBorders>
            <w:shd w:val="clear" w:color="000000" w:fill="FFFFFF"/>
            <w:vAlign w:val="bottom"/>
            <w:hideMark/>
          </w:tcPr>
          <w:p w14:paraId="77078F2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izolacji DNA plazmidowego na kolumienkach z membraną krzemionkową, wydajność do 20 µg DNA, pozwalający na uzyskanie ultraczystego, gotowego do użycia DNA (GeneJET Plasmid Miniprep Kit)</w:t>
            </w:r>
          </w:p>
        </w:tc>
        <w:tc>
          <w:tcPr>
            <w:tcW w:w="1584" w:type="dxa"/>
            <w:tcBorders>
              <w:top w:val="nil"/>
              <w:left w:val="nil"/>
              <w:bottom w:val="single" w:sz="4" w:space="0" w:color="auto"/>
              <w:right w:val="single" w:sz="4" w:space="0" w:color="auto"/>
            </w:tcBorders>
            <w:shd w:val="clear" w:color="000000" w:fill="FFFFFF"/>
            <w:noWrap/>
            <w:vAlign w:val="bottom"/>
            <w:hideMark/>
          </w:tcPr>
          <w:p w14:paraId="780C491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izolacji</w:t>
            </w:r>
          </w:p>
        </w:tc>
        <w:tc>
          <w:tcPr>
            <w:tcW w:w="787" w:type="dxa"/>
            <w:tcBorders>
              <w:top w:val="nil"/>
              <w:left w:val="nil"/>
              <w:bottom w:val="single" w:sz="4" w:space="0" w:color="auto"/>
              <w:right w:val="single" w:sz="4" w:space="0" w:color="auto"/>
            </w:tcBorders>
            <w:shd w:val="clear" w:color="000000" w:fill="FFFFFF"/>
            <w:noWrap/>
            <w:vAlign w:val="center"/>
            <w:hideMark/>
          </w:tcPr>
          <w:p w14:paraId="0A5D344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r>
      <w:tr w:rsidR="00CB32F5" w:rsidRPr="00CB32F5" w14:paraId="0D238102"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5166A7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22</w:t>
            </w:r>
          </w:p>
        </w:tc>
        <w:tc>
          <w:tcPr>
            <w:tcW w:w="3129" w:type="dxa"/>
            <w:tcBorders>
              <w:top w:val="nil"/>
              <w:left w:val="nil"/>
              <w:bottom w:val="single" w:sz="4" w:space="0" w:color="auto"/>
              <w:right w:val="single" w:sz="4" w:space="0" w:color="auto"/>
            </w:tcBorders>
            <w:shd w:val="clear" w:color="000000" w:fill="FFFFFF"/>
            <w:vAlign w:val="bottom"/>
            <w:hideMark/>
          </w:tcPr>
          <w:p w14:paraId="47FEF78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DNaza I</w:t>
            </w:r>
          </w:p>
        </w:tc>
        <w:tc>
          <w:tcPr>
            <w:tcW w:w="7264" w:type="dxa"/>
            <w:tcBorders>
              <w:top w:val="nil"/>
              <w:left w:val="nil"/>
              <w:bottom w:val="single" w:sz="4" w:space="0" w:color="auto"/>
              <w:right w:val="single" w:sz="4" w:space="0" w:color="auto"/>
            </w:tcBorders>
            <w:shd w:val="clear" w:color="000000" w:fill="FFFFFF"/>
            <w:vAlign w:val="bottom"/>
            <w:hideMark/>
          </w:tcPr>
          <w:p w14:paraId="1B6AB48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usuwania pozostałości DNA w próbach po izolacji RNA, zawierający wysokowydajną DNazę I, bufor do reakcji, oraz odczynnik do inaktywacji enzymu (TURBO DNA-free™ Kit)</w:t>
            </w:r>
          </w:p>
        </w:tc>
        <w:tc>
          <w:tcPr>
            <w:tcW w:w="1584" w:type="dxa"/>
            <w:tcBorders>
              <w:top w:val="nil"/>
              <w:left w:val="nil"/>
              <w:bottom w:val="single" w:sz="4" w:space="0" w:color="auto"/>
              <w:right w:val="single" w:sz="4" w:space="0" w:color="auto"/>
            </w:tcBorders>
            <w:shd w:val="clear" w:color="000000" w:fill="FFFFFF"/>
            <w:noWrap/>
            <w:vAlign w:val="bottom"/>
            <w:hideMark/>
          </w:tcPr>
          <w:p w14:paraId="679CB1F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0164A53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7FFA0F93"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618E286"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23</w:t>
            </w:r>
          </w:p>
        </w:tc>
        <w:tc>
          <w:tcPr>
            <w:tcW w:w="3129" w:type="dxa"/>
            <w:tcBorders>
              <w:top w:val="nil"/>
              <w:left w:val="nil"/>
              <w:bottom w:val="single" w:sz="4" w:space="0" w:color="auto"/>
              <w:right w:val="single" w:sz="4" w:space="0" w:color="auto"/>
            </w:tcBorders>
            <w:shd w:val="clear" w:color="000000" w:fill="FFFFFF"/>
            <w:vAlign w:val="bottom"/>
            <w:hideMark/>
          </w:tcPr>
          <w:p w14:paraId="23B707E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barwnik DNA w żelach poliakrylamidowych</w:t>
            </w:r>
          </w:p>
        </w:tc>
        <w:tc>
          <w:tcPr>
            <w:tcW w:w="7264" w:type="dxa"/>
            <w:tcBorders>
              <w:top w:val="nil"/>
              <w:left w:val="nil"/>
              <w:bottom w:val="single" w:sz="4" w:space="0" w:color="auto"/>
              <w:right w:val="single" w:sz="4" w:space="0" w:color="auto"/>
            </w:tcBorders>
            <w:shd w:val="clear" w:color="000000" w:fill="FFFFFF"/>
            <w:vAlign w:val="bottom"/>
            <w:hideMark/>
          </w:tcPr>
          <w:p w14:paraId="3FB6391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barwnik DNA w żelach poliakrylamidowych, 10 000 x stężony w DMSO, wzbudzany światłem niebieskim </w:t>
            </w:r>
          </w:p>
        </w:tc>
        <w:tc>
          <w:tcPr>
            <w:tcW w:w="1584" w:type="dxa"/>
            <w:tcBorders>
              <w:top w:val="nil"/>
              <w:left w:val="nil"/>
              <w:bottom w:val="single" w:sz="4" w:space="0" w:color="auto"/>
              <w:right w:val="single" w:sz="4" w:space="0" w:color="auto"/>
            </w:tcBorders>
            <w:shd w:val="clear" w:color="000000" w:fill="FFFFFF"/>
            <w:noWrap/>
            <w:vAlign w:val="bottom"/>
            <w:hideMark/>
          </w:tcPr>
          <w:p w14:paraId="4CB8EA3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400 µl</w:t>
            </w:r>
          </w:p>
        </w:tc>
        <w:tc>
          <w:tcPr>
            <w:tcW w:w="787" w:type="dxa"/>
            <w:tcBorders>
              <w:top w:val="nil"/>
              <w:left w:val="nil"/>
              <w:bottom w:val="single" w:sz="4" w:space="0" w:color="auto"/>
              <w:right w:val="single" w:sz="4" w:space="0" w:color="auto"/>
            </w:tcBorders>
            <w:shd w:val="clear" w:color="000000" w:fill="FFFFFF"/>
            <w:noWrap/>
            <w:vAlign w:val="center"/>
            <w:hideMark/>
          </w:tcPr>
          <w:p w14:paraId="6CFEA48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491E8492"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734807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24</w:t>
            </w:r>
          </w:p>
        </w:tc>
        <w:tc>
          <w:tcPr>
            <w:tcW w:w="3129" w:type="dxa"/>
            <w:tcBorders>
              <w:top w:val="nil"/>
              <w:left w:val="nil"/>
              <w:bottom w:val="single" w:sz="4" w:space="0" w:color="auto"/>
              <w:right w:val="single" w:sz="4" w:space="0" w:color="auto"/>
            </w:tcBorders>
            <w:shd w:val="clear" w:color="000000" w:fill="FFFFFF"/>
            <w:vAlign w:val="bottom"/>
            <w:hideMark/>
          </w:tcPr>
          <w:p w14:paraId="743093F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syntezy cDNA</w:t>
            </w:r>
          </w:p>
        </w:tc>
        <w:tc>
          <w:tcPr>
            <w:tcW w:w="7264" w:type="dxa"/>
            <w:tcBorders>
              <w:top w:val="nil"/>
              <w:left w:val="nil"/>
              <w:bottom w:val="single" w:sz="4" w:space="0" w:color="auto"/>
              <w:right w:val="single" w:sz="4" w:space="0" w:color="auto"/>
            </w:tcBorders>
            <w:shd w:val="clear" w:color="000000" w:fill="FFFFFF"/>
            <w:vAlign w:val="bottom"/>
            <w:hideMark/>
          </w:tcPr>
          <w:p w14:paraId="06A962E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syntezy pierwszej nici ciężkiej (H minus) cDNA, zawierający enzym odwrotną transkryptazę, bufor do reakcji, mieszaninę losowych heksamerów, dNTP i wodę wolną od nuklaz </w:t>
            </w:r>
          </w:p>
        </w:tc>
        <w:tc>
          <w:tcPr>
            <w:tcW w:w="1584" w:type="dxa"/>
            <w:tcBorders>
              <w:top w:val="nil"/>
              <w:left w:val="nil"/>
              <w:bottom w:val="single" w:sz="4" w:space="0" w:color="auto"/>
              <w:right w:val="single" w:sz="4" w:space="0" w:color="auto"/>
            </w:tcBorders>
            <w:shd w:val="clear" w:color="000000" w:fill="FFFFFF"/>
            <w:noWrap/>
            <w:vAlign w:val="bottom"/>
            <w:hideMark/>
          </w:tcPr>
          <w:p w14:paraId="2B44925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00AEB33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021CB40B"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2D0C05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w:t>
            </w:r>
          </w:p>
        </w:tc>
        <w:tc>
          <w:tcPr>
            <w:tcW w:w="3129" w:type="dxa"/>
            <w:tcBorders>
              <w:top w:val="nil"/>
              <w:left w:val="nil"/>
              <w:bottom w:val="single" w:sz="4" w:space="0" w:color="auto"/>
              <w:right w:val="single" w:sz="4" w:space="0" w:color="auto"/>
            </w:tcBorders>
            <w:shd w:val="clear" w:color="000000" w:fill="FFFFFF"/>
            <w:vAlign w:val="bottom"/>
            <w:hideMark/>
          </w:tcPr>
          <w:p w14:paraId="0D6F8C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do transkrypcji </w:t>
            </w:r>
            <w:r w:rsidRPr="00CB32F5">
              <w:rPr>
                <w:rFonts w:ascii="Calibri" w:eastAsia="Times New Roman" w:hAnsi="Calibri" w:cs="Calibri"/>
                <w:i/>
                <w:iCs/>
                <w:color w:val="000000"/>
                <w:sz w:val="18"/>
                <w:szCs w:val="18"/>
                <w:lang w:eastAsia="pl-PL"/>
              </w:rPr>
              <w:t>in vitro</w:t>
            </w:r>
            <w:r w:rsidRPr="00CB32F5">
              <w:rPr>
                <w:rFonts w:ascii="Calibri" w:eastAsia="Times New Roman" w:hAnsi="Calibri" w:cs="Calibri"/>
                <w:color w:val="000000"/>
                <w:sz w:val="18"/>
                <w:szCs w:val="18"/>
                <w:lang w:eastAsia="pl-PL"/>
              </w:rPr>
              <w:t xml:space="preserve"> z promotora T7</w:t>
            </w:r>
          </w:p>
        </w:tc>
        <w:tc>
          <w:tcPr>
            <w:tcW w:w="7264" w:type="dxa"/>
            <w:tcBorders>
              <w:top w:val="nil"/>
              <w:left w:val="nil"/>
              <w:bottom w:val="single" w:sz="4" w:space="0" w:color="auto"/>
              <w:right w:val="single" w:sz="4" w:space="0" w:color="auto"/>
            </w:tcBorders>
            <w:shd w:val="clear" w:color="000000" w:fill="FFFFFF"/>
            <w:vAlign w:val="bottom"/>
            <w:hideMark/>
          </w:tcPr>
          <w:p w14:paraId="0B77254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zestaw do transkrypcji </w:t>
            </w:r>
            <w:r w:rsidRPr="00CB32F5">
              <w:rPr>
                <w:rFonts w:ascii="Calibri" w:eastAsia="Times New Roman" w:hAnsi="Calibri" w:cs="Calibri"/>
                <w:i/>
                <w:iCs/>
                <w:color w:val="000000"/>
                <w:sz w:val="18"/>
                <w:szCs w:val="18"/>
                <w:lang w:eastAsia="pl-PL"/>
              </w:rPr>
              <w:t>in vitro</w:t>
            </w:r>
            <w:r w:rsidRPr="00CB32F5">
              <w:rPr>
                <w:rFonts w:ascii="Calibri" w:eastAsia="Times New Roman" w:hAnsi="Calibri" w:cs="Calibri"/>
                <w:color w:val="000000"/>
                <w:sz w:val="18"/>
                <w:szCs w:val="18"/>
                <w:lang w:eastAsia="pl-PL"/>
              </w:rPr>
              <w:t xml:space="preserve"> z promotora T7 zawierający: polimerazę RNA T7, bufor do reakcji, mieszaniny ATP, GTP, CTP i UTP, wodę wolną od nukleaz, DNazę, kontrolną matrycę, octan amonu, chlorek litu, barwnik do elektroforezy</w:t>
            </w:r>
          </w:p>
        </w:tc>
        <w:tc>
          <w:tcPr>
            <w:tcW w:w="1584" w:type="dxa"/>
            <w:tcBorders>
              <w:top w:val="nil"/>
              <w:left w:val="nil"/>
              <w:bottom w:val="single" w:sz="4" w:space="0" w:color="auto"/>
              <w:right w:val="single" w:sz="4" w:space="0" w:color="auto"/>
            </w:tcBorders>
            <w:shd w:val="clear" w:color="000000" w:fill="FFFFFF"/>
            <w:noWrap/>
            <w:vAlign w:val="bottom"/>
            <w:hideMark/>
          </w:tcPr>
          <w:p w14:paraId="74DDB68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78AF8F6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337E42FE"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233ACD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26</w:t>
            </w:r>
          </w:p>
        </w:tc>
        <w:tc>
          <w:tcPr>
            <w:tcW w:w="3129" w:type="dxa"/>
            <w:tcBorders>
              <w:top w:val="nil"/>
              <w:left w:val="nil"/>
              <w:bottom w:val="single" w:sz="4" w:space="0" w:color="auto"/>
              <w:right w:val="single" w:sz="4" w:space="0" w:color="auto"/>
            </w:tcBorders>
            <w:shd w:val="clear" w:color="000000" w:fill="FFFFFF"/>
            <w:vAlign w:val="bottom"/>
            <w:hideMark/>
          </w:tcPr>
          <w:p w14:paraId="337A795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kinaza polinukleotydowa T4</w:t>
            </w:r>
          </w:p>
        </w:tc>
        <w:tc>
          <w:tcPr>
            <w:tcW w:w="7264" w:type="dxa"/>
            <w:tcBorders>
              <w:top w:val="nil"/>
              <w:left w:val="nil"/>
              <w:bottom w:val="single" w:sz="4" w:space="0" w:color="auto"/>
              <w:right w:val="single" w:sz="4" w:space="0" w:color="auto"/>
            </w:tcBorders>
            <w:shd w:val="clear" w:color="000000" w:fill="FFFFFF"/>
            <w:vAlign w:val="bottom"/>
            <w:hideMark/>
          </w:tcPr>
          <w:p w14:paraId="7C8DE92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enzym, kinaza polinukleotydowa T4 przeznaczona do znakowania kwasów nukleinowych na końcu 5', fosforylacji kwasów nukleinowych, zestaw zawierający enzym (10 U/µL), bufor do reakcji, rozwtór PEG</w:t>
            </w:r>
          </w:p>
        </w:tc>
        <w:tc>
          <w:tcPr>
            <w:tcW w:w="1584" w:type="dxa"/>
            <w:tcBorders>
              <w:top w:val="nil"/>
              <w:left w:val="nil"/>
              <w:bottom w:val="single" w:sz="4" w:space="0" w:color="auto"/>
              <w:right w:val="single" w:sz="4" w:space="0" w:color="auto"/>
            </w:tcBorders>
            <w:shd w:val="clear" w:color="000000" w:fill="FFFFFF"/>
            <w:noWrap/>
            <w:vAlign w:val="bottom"/>
            <w:hideMark/>
          </w:tcPr>
          <w:p w14:paraId="6B36623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2500 U</w:t>
            </w:r>
          </w:p>
        </w:tc>
        <w:tc>
          <w:tcPr>
            <w:tcW w:w="787" w:type="dxa"/>
            <w:tcBorders>
              <w:top w:val="nil"/>
              <w:left w:val="nil"/>
              <w:bottom w:val="single" w:sz="4" w:space="0" w:color="auto"/>
              <w:right w:val="single" w:sz="4" w:space="0" w:color="auto"/>
            </w:tcBorders>
            <w:shd w:val="clear" w:color="000000" w:fill="FFFFFF"/>
            <w:noWrap/>
            <w:vAlign w:val="center"/>
            <w:hideMark/>
          </w:tcPr>
          <w:p w14:paraId="2063E61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EE63F6F" w14:textId="77777777" w:rsidTr="00CB32F5">
        <w:trPr>
          <w:trHeight w:val="75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DDCC6D2"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27</w:t>
            </w:r>
          </w:p>
        </w:tc>
        <w:tc>
          <w:tcPr>
            <w:tcW w:w="3129" w:type="dxa"/>
            <w:tcBorders>
              <w:top w:val="nil"/>
              <w:left w:val="nil"/>
              <w:bottom w:val="single" w:sz="4" w:space="0" w:color="auto"/>
              <w:right w:val="single" w:sz="4" w:space="0" w:color="auto"/>
            </w:tcBorders>
            <w:shd w:val="clear" w:color="000000" w:fill="FFFFFF"/>
            <w:vAlign w:val="bottom"/>
            <w:hideMark/>
          </w:tcPr>
          <w:p w14:paraId="69C410C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odwrotnej transkrypcji</w:t>
            </w:r>
          </w:p>
        </w:tc>
        <w:tc>
          <w:tcPr>
            <w:tcW w:w="7264" w:type="dxa"/>
            <w:tcBorders>
              <w:top w:val="nil"/>
              <w:left w:val="nil"/>
              <w:bottom w:val="single" w:sz="4" w:space="0" w:color="auto"/>
              <w:right w:val="single" w:sz="4" w:space="0" w:color="auto"/>
            </w:tcBorders>
            <w:shd w:val="clear" w:color="000000" w:fill="FFFFFF"/>
            <w:vAlign w:val="bottom"/>
            <w:hideMark/>
          </w:tcPr>
          <w:p w14:paraId="21C4556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zestaw do syntezy pierwszej nici cDNA z całkowitego RNA, z matrycy o wielkości od 100 do 12 tys. pz, w stężeniu od 0,1 pg do 5 µg RNA, zestaw zawierający eznym, bufor do syntezy, bufor do wiązania, Oligo(dT)</w:t>
            </w:r>
            <w:r w:rsidRPr="00CB32F5">
              <w:rPr>
                <w:rFonts w:ascii="Calibri" w:eastAsia="Times New Roman" w:hAnsi="Calibri" w:cs="Calibri"/>
                <w:color w:val="000000"/>
                <w:sz w:val="18"/>
                <w:szCs w:val="18"/>
                <w:vertAlign w:val="subscript"/>
                <w:lang w:eastAsia="pl-PL"/>
              </w:rPr>
              <w:t>20</w:t>
            </w:r>
            <w:r w:rsidRPr="00CB32F5">
              <w:rPr>
                <w:rFonts w:ascii="Calibri" w:eastAsia="Times New Roman" w:hAnsi="Calibri" w:cs="Calibri"/>
                <w:color w:val="000000"/>
                <w:sz w:val="18"/>
                <w:szCs w:val="18"/>
                <w:lang w:eastAsia="pl-PL"/>
              </w:rPr>
              <w:t xml:space="preserve">, losowe heksamery </w:t>
            </w:r>
          </w:p>
        </w:tc>
        <w:tc>
          <w:tcPr>
            <w:tcW w:w="1584" w:type="dxa"/>
            <w:tcBorders>
              <w:top w:val="nil"/>
              <w:left w:val="nil"/>
              <w:bottom w:val="single" w:sz="4" w:space="0" w:color="auto"/>
              <w:right w:val="single" w:sz="4" w:space="0" w:color="auto"/>
            </w:tcBorders>
            <w:shd w:val="clear" w:color="000000" w:fill="FFFFFF"/>
            <w:noWrap/>
            <w:vAlign w:val="bottom"/>
            <w:hideMark/>
          </w:tcPr>
          <w:p w14:paraId="040CD8E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 reakcji</w:t>
            </w:r>
          </w:p>
        </w:tc>
        <w:tc>
          <w:tcPr>
            <w:tcW w:w="787" w:type="dxa"/>
            <w:tcBorders>
              <w:top w:val="nil"/>
              <w:left w:val="nil"/>
              <w:bottom w:val="single" w:sz="4" w:space="0" w:color="auto"/>
              <w:right w:val="single" w:sz="4" w:space="0" w:color="auto"/>
            </w:tcBorders>
            <w:shd w:val="clear" w:color="000000" w:fill="FFFFFF"/>
            <w:noWrap/>
            <w:vAlign w:val="center"/>
            <w:hideMark/>
          </w:tcPr>
          <w:p w14:paraId="7BE9441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33B7266" w14:textId="77777777" w:rsidTr="00CB32F5">
        <w:trPr>
          <w:trHeight w:val="73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21C62C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28</w:t>
            </w:r>
          </w:p>
        </w:tc>
        <w:tc>
          <w:tcPr>
            <w:tcW w:w="3129" w:type="dxa"/>
            <w:tcBorders>
              <w:top w:val="nil"/>
              <w:left w:val="nil"/>
              <w:bottom w:val="single" w:sz="4" w:space="0" w:color="auto"/>
              <w:right w:val="single" w:sz="4" w:space="0" w:color="auto"/>
            </w:tcBorders>
            <w:shd w:val="clear" w:color="000000" w:fill="FFFFFF"/>
            <w:vAlign w:val="bottom"/>
            <w:hideMark/>
          </w:tcPr>
          <w:p w14:paraId="360599B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obciążnik do elektroforezy RNA</w:t>
            </w:r>
          </w:p>
        </w:tc>
        <w:tc>
          <w:tcPr>
            <w:tcW w:w="7264" w:type="dxa"/>
            <w:tcBorders>
              <w:top w:val="nil"/>
              <w:left w:val="nil"/>
              <w:bottom w:val="single" w:sz="4" w:space="0" w:color="auto"/>
              <w:right w:val="single" w:sz="4" w:space="0" w:color="auto"/>
            </w:tcBorders>
            <w:shd w:val="clear" w:color="000000" w:fill="FFFFFF"/>
            <w:vAlign w:val="bottom"/>
            <w:hideMark/>
          </w:tcPr>
          <w:p w14:paraId="0FE7219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obciążnik do elektroforezy RNA w żelach agarozowych i poliakrylamidowych, 2xstężony, z dodatkiem formamidu, dwóch barwników do śledzania elektroforezy: błękit bromofenolowy i cyjan ksylenowy FF, oraz barwnik interkalujący: bromek etydyny</w:t>
            </w:r>
          </w:p>
        </w:tc>
        <w:tc>
          <w:tcPr>
            <w:tcW w:w="1584" w:type="dxa"/>
            <w:tcBorders>
              <w:top w:val="nil"/>
              <w:left w:val="nil"/>
              <w:bottom w:val="single" w:sz="4" w:space="0" w:color="auto"/>
              <w:right w:val="single" w:sz="4" w:space="0" w:color="auto"/>
            </w:tcBorders>
            <w:shd w:val="clear" w:color="000000" w:fill="FFFFFF"/>
            <w:noWrap/>
            <w:vAlign w:val="bottom"/>
            <w:hideMark/>
          </w:tcPr>
          <w:p w14:paraId="3100F12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ml</w:t>
            </w:r>
          </w:p>
        </w:tc>
        <w:tc>
          <w:tcPr>
            <w:tcW w:w="787" w:type="dxa"/>
            <w:tcBorders>
              <w:top w:val="nil"/>
              <w:left w:val="nil"/>
              <w:bottom w:val="single" w:sz="4" w:space="0" w:color="auto"/>
              <w:right w:val="single" w:sz="4" w:space="0" w:color="auto"/>
            </w:tcBorders>
            <w:shd w:val="clear" w:color="000000" w:fill="FFFFFF"/>
            <w:noWrap/>
            <w:vAlign w:val="center"/>
            <w:hideMark/>
          </w:tcPr>
          <w:p w14:paraId="0C3047B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137151A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AA07AC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29</w:t>
            </w:r>
          </w:p>
        </w:tc>
        <w:tc>
          <w:tcPr>
            <w:tcW w:w="3129" w:type="dxa"/>
            <w:tcBorders>
              <w:top w:val="nil"/>
              <w:left w:val="nil"/>
              <w:bottom w:val="single" w:sz="4" w:space="0" w:color="auto"/>
              <w:right w:val="single" w:sz="4" w:space="0" w:color="auto"/>
            </w:tcBorders>
            <w:shd w:val="clear" w:color="000000" w:fill="FFFFFF"/>
            <w:vAlign w:val="bottom"/>
            <w:hideMark/>
          </w:tcPr>
          <w:p w14:paraId="49925E2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wielkości DNA 1 kb</w:t>
            </w:r>
          </w:p>
        </w:tc>
        <w:tc>
          <w:tcPr>
            <w:tcW w:w="7264" w:type="dxa"/>
            <w:tcBorders>
              <w:top w:val="nil"/>
              <w:left w:val="nil"/>
              <w:bottom w:val="single" w:sz="4" w:space="0" w:color="auto"/>
              <w:right w:val="single" w:sz="4" w:space="0" w:color="auto"/>
            </w:tcBorders>
            <w:shd w:val="clear" w:color="000000" w:fill="FFFFFF"/>
            <w:vAlign w:val="bottom"/>
            <w:hideMark/>
          </w:tcPr>
          <w:p w14:paraId="0F332423"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marker wielkości DNA, w zakresie od 250 do 10 000 pz, zawierający błękit bromofenolowy, cyjan ksylenowy FF i Oranż G</w:t>
            </w:r>
          </w:p>
        </w:tc>
        <w:tc>
          <w:tcPr>
            <w:tcW w:w="1584" w:type="dxa"/>
            <w:tcBorders>
              <w:top w:val="nil"/>
              <w:left w:val="nil"/>
              <w:bottom w:val="single" w:sz="4" w:space="0" w:color="auto"/>
              <w:right w:val="single" w:sz="4" w:space="0" w:color="auto"/>
            </w:tcBorders>
            <w:shd w:val="clear" w:color="000000" w:fill="FFFFFF"/>
            <w:noWrap/>
            <w:vAlign w:val="bottom"/>
            <w:hideMark/>
          </w:tcPr>
          <w:p w14:paraId="37FE130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5x50 µg</w:t>
            </w:r>
          </w:p>
        </w:tc>
        <w:tc>
          <w:tcPr>
            <w:tcW w:w="787" w:type="dxa"/>
            <w:tcBorders>
              <w:top w:val="nil"/>
              <w:left w:val="nil"/>
              <w:bottom w:val="single" w:sz="4" w:space="0" w:color="auto"/>
              <w:right w:val="single" w:sz="4" w:space="0" w:color="auto"/>
            </w:tcBorders>
            <w:shd w:val="clear" w:color="000000" w:fill="FFFFFF"/>
            <w:noWrap/>
            <w:vAlign w:val="center"/>
            <w:hideMark/>
          </w:tcPr>
          <w:p w14:paraId="292BE15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4AFB8AF8"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D56353A"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c>
          <w:tcPr>
            <w:tcW w:w="3129" w:type="dxa"/>
            <w:tcBorders>
              <w:top w:val="nil"/>
              <w:left w:val="nil"/>
              <w:bottom w:val="single" w:sz="4" w:space="0" w:color="auto"/>
              <w:right w:val="single" w:sz="4" w:space="0" w:color="auto"/>
            </w:tcBorders>
            <w:shd w:val="clear" w:color="000000" w:fill="FFFFFF"/>
            <w:vAlign w:val="bottom"/>
            <w:hideMark/>
          </w:tcPr>
          <w:p w14:paraId="6F44EFC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wielkości DNA 1 kb Plus</w:t>
            </w:r>
          </w:p>
        </w:tc>
        <w:tc>
          <w:tcPr>
            <w:tcW w:w="7264" w:type="dxa"/>
            <w:tcBorders>
              <w:top w:val="nil"/>
              <w:left w:val="nil"/>
              <w:bottom w:val="single" w:sz="4" w:space="0" w:color="auto"/>
              <w:right w:val="single" w:sz="4" w:space="0" w:color="auto"/>
            </w:tcBorders>
            <w:shd w:val="clear" w:color="000000" w:fill="FFFFFF"/>
            <w:vAlign w:val="bottom"/>
            <w:hideMark/>
          </w:tcPr>
          <w:p w14:paraId="42B05D8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gotowy do użycia marker wielkości DNA, w zakresie od 75 do 20 000 pz, zawierający błękit bromofenolowy, cyjan ksylenowy FF i Oranż G</w:t>
            </w:r>
          </w:p>
        </w:tc>
        <w:tc>
          <w:tcPr>
            <w:tcW w:w="1584" w:type="dxa"/>
            <w:tcBorders>
              <w:top w:val="nil"/>
              <w:left w:val="nil"/>
              <w:bottom w:val="single" w:sz="4" w:space="0" w:color="auto"/>
              <w:right w:val="single" w:sz="4" w:space="0" w:color="auto"/>
            </w:tcBorders>
            <w:shd w:val="clear" w:color="000000" w:fill="FFFFFF"/>
            <w:noWrap/>
            <w:vAlign w:val="bottom"/>
            <w:hideMark/>
          </w:tcPr>
          <w:p w14:paraId="03008D4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5x50 µg</w:t>
            </w:r>
          </w:p>
        </w:tc>
        <w:tc>
          <w:tcPr>
            <w:tcW w:w="787" w:type="dxa"/>
            <w:tcBorders>
              <w:top w:val="nil"/>
              <w:left w:val="nil"/>
              <w:bottom w:val="single" w:sz="4" w:space="0" w:color="auto"/>
              <w:right w:val="single" w:sz="4" w:space="0" w:color="auto"/>
            </w:tcBorders>
            <w:shd w:val="clear" w:color="000000" w:fill="FFFFFF"/>
            <w:noWrap/>
            <w:vAlign w:val="center"/>
            <w:hideMark/>
          </w:tcPr>
          <w:p w14:paraId="473803E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68D1C742"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F0F1DD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31</w:t>
            </w:r>
          </w:p>
        </w:tc>
        <w:tc>
          <w:tcPr>
            <w:tcW w:w="3129" w:type="dxa"/>
            <w:tcBorders>
              <w:top w:val="nil"/>
              <w:left w:val="nil"/>
              <w:bottom w:val="single" w:sz="4" w:space="0" w:color="auto"/>
              <w:right w:val="single" w:sz="4" w:space="0" w:color="auto"/>
            </w:tcBorders>
            <w:shd w:val="clear" w:color="000000" w:fill="FFFFFF"/>
            <w:vAlign w:val="bottom"/>
            <w:hideMark/>
          </w:tcPr>
          <w:p w14:paraId="71F8A17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marker wielkości RNA </w:t>
            </w:r>
          </w:p>
        </w:tc>
        <w:tc>
          <w:tcPr>
            <w:tcW w:w="7264" w:type="dxa"/>
            <w:tcBorders>
              <w:top w:val="nil"/>
              <w:left w:val="nil"/>
              <w:bottom w:val="single" w:sz="4" w:space="0" w:color="auto"/>
              <w:right w:val="single" w:sz="4" w:space="0" w:color="auto"/>
            </w:tcBorders>
            <w:shd w:val="clear" w:color="000000" w:fill="FFFFFF"/>
            <w:vAlign w:val="bottom"/>
            <w:hideMark/>
          </w:tcPr>
          <w:p w14:paraId="6A571C5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marker wielkośći RNA, w zakresie od 100 do 1000 pz, obciążnik w zestawie</w:t>
            </w:r>
          </w:p>
        </w:tc>
        <w:tc>
          <w:tcPr>
            <w:tcW w:w="1584" w:type="dxa"/>
            <w:tcBorders>
              <w:top w:val="nil"/>
              <w:left w:val="nil"/>
              <w:bottom w:val="single" w:sz="4" w:space="0" w:color="auto"/>
              <w:right w:val="single" w:sz="4" w:space="0" w:color="auto"/>
            </w:tcBorders>
            <w:shd w:val="clear" w:color="000000" w:fill="FFFFFF"/>
            <w:noWrap/>
            <w:vAlign w:val="bottom"/>
            <w:hideMark/>
          </w:tcPr>
          <w:p w14:paraId="2AE6DB7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5x20µl</w:t>
            </w:r>
          </w:p>
        </w:tc>
        <w:tc>
          <w:tcPr>
            <w:tcW w:w="787" w:type="dxa"/>
            <w:tcBorders>
              <w:top w:val="nil"/>
              <w:left w:val="nil"/>
              <w:bottom w:val="single" w:sz="4" w:space="0" w:color="auto"/>
              <w:right w:val="single" w:sz="4" w:space="0" w:color="auto"/>
            </w:tcBorders>
            <w:shd w:val="clear" w:color="000000" w:fill="FFFFFF"/>
            <w:noWrap/>
            <w:vAlign w:val="center"/>
            <w:hideMark/>
          </w:tcPr>
          <w:p w14:paraId="757D73D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r>
      <w:tr w:rsidR="00CB32F5" w:rsidRPr="00CB32F5" w14:paraId="35DB6039"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2D62C2E"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32</w:t>
            </w:r>
          </w:p>
        </w:tc>
        <w:tc>
          <w:tcPr>
            <w:tcW w:w="3129" w:type="dxa"/>
            <w:tcBorders>
              <w:top w:val="nil"/>
              <w:left w:val="nil"/>
              <w:bottom w:val="single" w:sz="4" w:space="0" w:color="auto"/>
              <w:right w:val="single" w:sz="4" w:space="0" w:color="auto"/>
            </w:tcBorders>
            <w:shd w:val="clear" w:color="000000" w:fill="FFFFFF"/>
            <w:vAlign w:val="bottom"/>
            <w:hideMark/>
          </w:tcPr>
          <w:p w14:paraId="7D69CE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inhibitor RNaz</w:t>
            </w:r>
          </w:p>
        </w:tc>
        <w:tc>
          <w:tcPr>
            <w:tcW w:w="7264" w:type="dxa"/>
            <w:tcBorders>
              <w:top w:val="nil"/>
              <w:left w:val="nil"/>
              <w:bottom w:val="single" w:sz="4" w:space="0" w:color="auto"/>
              <w:right w:val="single" w:sz="4" w:space="0" w:color="auto"/>
            </w:tcBorders>
            <w:shd w:val="clear" w:color="000000" w:fill="FFFFFF"/>
            <w:vAlign w:val="bottom"/>
            <w:hideMark/>
          </w:tcPr>
          <w:p w14:paraId="5F26025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Inhibitor Rnaz, hamujący aktywność RNazy A, B i C, 40 U/µl </w:t>
            </w:r>
          </w:p>
        </w:tc>
        <w:tc>
          <w:tcPr>
            <w:tcW w:w="1584" w:type="dxa"/>
            <w:tcBorders>
              <w:top w:val="nil"/>
              <w:left w:val="nil"/>
              <w:bottom w:val="single" w:sz="4" w:space="0" w:color="auto"/>
              <w:right w:val="single" w:sz="4" w:space="0" w:color="auto"/>
            </w:tcBorders>
            <w:shd w:val="clear" w:color="000000" w:fill="FFFFFF"/>
            <w:noWrap/>
            <w:vAlign w:val="bottom"/>
            <w:hideMark/>
          </w:tcPr>
          <w:p w14:paraId="50358F7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2500 U</w:t>
            </w:r>
          </w:p>
        </w:tc>
        <w:tc>
          <w:tcPr>
            <w:tcW w:w="787" w:type="dxa"/>
            <w:tcBorders>
              <w:top w:val="nil"/>
              <w:left w:val="nil"/>
              <w:bottom w:val="single" w:sz="4" w:space="0" w:color="auto"/>
              <w:right w:val="single" w:sz="4" w:space="0" w:color="auto"/>
            </w:tcBorders>
            <w:shd w:val="clear" w:color="000000" w:fill="FFFFFF"/>
            <w:noWrap/>
            <w:vAlign w:val="center"/>
            <w:hideMark/>
          </w:tcPr>
          <w:p w14:paraId="31CD8E5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r>
      <w:tr w:rsidR="00CB32F5" w:rsidRPr="00CB32F5" w14:paraId="32B7601B" w14:textId="77777777" w:rsidTr="00CB32F5">
        <w:trPr>
          <w:trHeight w:val="97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C074DC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33</w:t>
            </w:r>
          </w:p>
        </w:tc>
        <w:tc>
          <w:tcPr>
            <w:tcW w:w="3129" w:type="dxa"/>
            <w:tcBorders>
              <w:top w:val="nil"/>
              <w:left w:val="nil"/>
              <w:bottom w:val="single" w:sz="4" w:space="0" w:color="auto"/>
              <w:right w:val="single" w:sz="4" w:space="0" w:color="auto"/>
            </w:tcBorders>
            <w:shd w:val="clear" w:color="000000" w:fill="FFFFFF"/>
            <w:vAlign w:val="bottom"/>
            <w:hideMark/>
          </w:tcPr>
          <w:p w14:paraId="7F3F109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złoże do oczyszczania białek rekombinowanych Ni-NTA Agarose</w:t>
            </w:r>
          </w:p>
        </w:tc>
        <w:tc>
          <w:tcPr>
            <w:tcW w:w="7264" w:type="dxa"/>
            <w:tcBorders>
              <w:top w:val="nil"/>
              <w:left w:val="nil"/>
              <w:bottom w:val="single" w:sz="4" w:space="0" w:color="auto"/>
              <w:right w:val="single" w:sz="4" w:space="0" w:color="auto"/>
            </w:tcBorders>
            <w:shd w:val="clear" w:color="000000" w:fill="FFFFFF"/>
            <w:vAlign w:val="bottom"/>
            <w:hideMark/>
          </w:tcPr>
          <w:p w14:paraId="316D9B5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złoże agarozowe wiąże jony niklu za pomocą reszty kwasu nitrylotrioctowego, do oczyszczania białek rekombinowanych zawierających metryczkę histydynową (6xHis), wymywanie z użyciem imidazolu, histydyny lub buforu o niskim pH, możliwość oczyszczania w warunkach natywnych lub denaturujących</w:t>
            </w:r>
          </w:p>
        </w:tc>
        <w:tc>
          <w:tcPr>
            <w:tcW w:w="1584" w:type="dxa"/>
            <w:tcBorders>
              <w:top w:val="single" w:sz="4" w:space="0" w:color="auto"/>
              <w:left w:val="nil"/>
              <w:bottom w:val="single" w:sz="4" w:space="0" w:color="auto"/>
              <w:right w:val="single" w:sz="4" w:space="0" w:color="auto"/>
            </w:tcBorders>
            <w:shd w:val="clear" w:color="000000" w:fill="FFFFFF"/>
            <w:noWrap/>
            <w:vAlign w:val="bottom"/>
            <w:hideMark/>
          </w:tcPr>
          <w:p w14:paraId="54ED7B4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mL</w:t>
            </w:r>
          </w:p>
        </w:tc>
        <w:tc>
          <w:tcPr>
            <w:tcW w:w="787" w:type="dxa"/>
            <w:tcBorders>
              <w:top w:val="single" w:sz="4" w:space="0" w:color="auto"/>
              <w:left w:val="nil"/>
              <w:bottom w:val="single" w:sz="4" w:space="0" w:color="auto"/>
              <w:right w:val="single" w:sz="4" w:space="0" w:color="auto"/>
            </w:tcBorders>
            <w:shd w:val="clear" w:color="000000" w:fill="FFFFFF"/>
            <w:noWrap/>
            <w:vAlign w:val="center"/>
            <w:hideMark/>
          </w:tcPr>
          <w:p w14:paraId="359F136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r>
      <w:tr w:rsidR="00CB32F5" w:rsidRPr="00CB32F5" w14:paraId="180C7DC0" w14:textId="77777777" w:rsidTr="00CB32F5">
        <w:trPr>
          <w:trHeight w:val="300"/>
        </w:trPr>
        <w:tc>
          <w:tcPr>
            <w:tcW w:w="626" w:type="dxa"/>
            <w:tcBorders>
              <w:top w:val="nil"/>
              <w:left w:val="nil"/>
              <w:bottom w:val="nil"/>
              <w:right w:val="nil"/>
            </w:tcBorders>
            <w:shd w:val="clear" w:color="auto" w:fill="auto"/>
            <w:noWrap/>
            <w:vAlign w:val="bottom"/>
            <w:hideMark/>
          </w:tcPr>
          <w:p w14:paraId="1AA80DBC"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c>
          <w:tcPr>
            <w:tcW w:w="3129" w:type="dxa"/>
            <w:tcBorders>
              <w:top w:val="nil"/>
              <w:left w:val="nil"/>
              <w:bottom w:val="nil"/>
              <w:right w:val="nil"/>
            </w:tcBorders>
            <w:shd w:val="clear" w:color="auto" w:fill="auto"/>
            <w:vAlign w:val="bottom"/>
            <w:hideMark/>
          </w:tcPr>
          <w:p w14:paraId="3C239D1E"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3D4F6E1A"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single" w:sz="4" w:space="0" w:color="auto"/>
              <w:left w:val="nil"/>
              <w:bottom w:val="nil"/>
              <w:right w:val="nil"/>
            </w:tcBorders>
            <w:shd w:val="clear" w:color="auto" w:fill="auto"/>
            <w:noWrap/>
            <w:vAlign w:val="bottom"/>
            <w:hideMark/>
          </w:tcPr>
          <w:p w14:paraId="2B3FABFF"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single" w:sz="4" w:space="0" w:color="auto"/>
              <w:left w:val="nil"/>
              <w:bottom w:val="nil"/>
              <w:right w:val="nil"/>
            </w:tcBorders>
            <w:shd w:val="clear" w:color="auto" w:fill="auto"/>
            <w:noWrap/>
            <w:vAlign w:val="bottom"/>
            <w:hideMark/>
          </w:tcPr>
          <w:p w14:paraId="44B6133A"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r w:rsidR="00CB32F5" w:rsidRPr="00CB32F5" w14:paraId="742ADC9D" w14:textId="77777777" w:rsidTr="00CB32F5">
        <w:trPr>
          <w:trHeight w:val="720"/>
        </w:trPr>
        <w:tc>
          <w:tcPr>
            <w:tcW w:w="6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240F4E2"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lp</w:t>
            </w:r>
          </w:p>
        </w:tc>
        <w:tc>
          <w:tcPr>
            <w:tcW w:w="3129" w:type="dxa"/>
            <w:tcBorders>
              <w:top w:val="single" w:sz="4" w:space="0" w:color="auto"/>
              <w:left w:val="nil"/>
              <w:bottom w:val="single" w:sz="4" w:space="0" w:color="auto"/>
              <w:right w:val="single" w:sz="4" w:space="0" w:color="auto"/>
            </w:tcBorders>
            <w:shd w:val="clear" w:color="000000" w:fill="B4C6E7"/>
            <w:vAlign w:val="bottom"/>
            <w:hideMark/>
          </w:tcPr>
          <w:p w14:paraId="00FF5C8B"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Nazwa oczekiwanego lub równoważnego produktu</w:t>
            </w:r>
          </w:p>
        </w:tc>
        <w:tc>
          <w:tcPr>
            <w:tcW w:w="7264" w:type="dxa"/>
            <w:tcBorders>
              <w:top w:val="single" w:sz="4" w:space="0" w:color="auto"/>
              <w:left w:val="nil"/>
              <w:bottom w:val="single" w:sz="4" w:space="0" w:color="auto"/>
              <w:right w:val="single" w:sz="4" w:space="0" w:color="auto"/>
            </w:tcBorders>
            <w:shd w:val="clear" w:color="000000" w:fill="B4C6E7"/>
            <w:vAlign w:val="center"/>
            <w:hideMark/>
          </w:tcPr>
          <w:p w14:paraId="5F8DFD30"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 xml:space="preserve">Opis cech artykułu lub rónorzędnego artykułu </w:t>
            </w:r>
          </w:p>
        </w:tc>
        <w:tc>
          <w:tcPr>
            <w:tcW w:w="1584" w:type="dxa"/>
            <w:tcBorders>
              <w:top w:val="single" w:sz="4" w:space="0" w:color="auto"/>
              <w:left w:val="nil"/>
              <w:bottom w:val="single" w:sz="4" w:space="0" w:color="auto"/>
              <w:right w:val="single" w:sz="4" w:space="0" w:color="auto"/>
            </w:tcBorders>
            <w:shd w:val="clear" w:color="000000" w:fill="B4C6E7"/>
            <w:vAlign w:val="center"/>
            <w:hideMark/>
          </w:tcPr>
          <w:p w14:paraId="6536F939"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Jednostka miary (opakowanie)</w:t>
            </w:r>
          </w:p>
        </w:tc>
        <w:tc>
          <w:tcPr>
            <w:tcW w:w="787" w:type="dxa"/>
            <w:tcBorders>
              <w:top w:val="single" w:sz="4" w:space="0" w:color="auto"/>
              <w:left w:val="nil"/>
              <w:bottom w:val="single" w:sz="4" w:space="0" w:color="auto"/>
              <w:right w:val="single" w:sz="4" w:space="0" w:color="auto"/>
            </w:tcBorders>
            <w:shd w:val="clear" w:color="000000" w:fill="B4C6E7"/>
            <w:vAlign w:val="center"/>
            <w:hideMark/>
          </w:tcPr>
          <w:p w14:paraId="0903DC66" w14:textId="77777777" w:rsidR="00CB32F5" w:rsidRPr="00CB32F5" w:rsidRDefault="00CB32F5" w:rsidP="00CB32F5">
            <w:pPr>
              <w:spacing w:after="0" w:line="240" w:lineRule="auto"/>
              <w:jc w:val="center"/>
              <w:rPr>
                <w:rFonts w:ascii="Calibri" w:eastAsia="Times New Roman" w:hAnsi="Calibri" w:cs="Calibri"/>
                <w:b/>
                <w:bCs/>
                <w:color w:val="000000"/>
                <w:sz w:val="18"/>
                <w:szCs w:val="18"/>
                <w:lang w:eastAsia="pl-PL"/>
              </w:rPr>
            </w:pPr>
            <w:r w:rsidRPr="00CB32F5">
              <w:rPr>
                <w:rFonts w:ascii="Calibri" w:eastAsia="Times New Roman" w:hAnsi="Calibri" w:cs="Calibri"/>
                <w:b/>
                <w:bCs/>
                <w:color w:val="000000"/>
                <w:sz w:val="18"/>
                <w:szCs w:val="18"/>
                <w:lang w:eastAsia="pl-PL"/>
              </w:rPr>
              <w:t>Ilość</w:t>
            </w:r>
          </w:p>
        </w:tc>
      </w:tr>
      <w:tr w:rsidR="00CB32F5" w:rsidRPr="00CB32F5" w14:paraId="0C11DCF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D9D9D9"/>
            <w:noWrap/>
            <w:vAlign w:val="bottom"/>
            <w:hideMark/>
          </w:tcPr>
          <w:p w14:paraId="2B5E6FA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10393" w:type="dxa"/>
            <w:gridSpan w:val="2"/>
            <w:tcBorders>
              <w:top w:val="single" w:sz="4" w:space="0" w:color="auto"/>
              <w:left w:val="nil"/>
              <w:bottom w:val="single" w:sz="4" w:space="0" w:color="auto"/>
              <w:right w:val="nil"/>
            </w:tcBorders>
            <w:shd w:val="clear" w:color="000000" w:fill="D9D9D9"/>
            <w:noWrap/>
            <w:vAlign w:val="bottom"/>
            <w:hideMark/>
          </w:tcPr>
          <w:p w14:paraId="60EDC31D" w14:textId="77777777" w:rsidR="00CB32F5" w:rsidRPr="00CB32F5" w:rsidRDefault="00CB32F5" w:rsidP="00CB32F5">
            <w:pPr>
              <w:spacing w:after="0" w:line="240" w:lineRule="auto"/>
              <w:rPr>
                <w:rFonts w:ascii="Calibri" w:eastAsia="Times New Roman" w:hAnsi="Calibri" w:cs="Calibri"/>
                <w:b/>
                <w:bCs/>
                <w:color w:val="000000"/>
                <w:lang w:eastAsia="pl-PL"/>
              </w:rPr>
            </w:pPr>
            <w:r w:rsidRPr="00CB32F5">
              <w:rPr>
                <w:rFonts w:ascii="Calibri" w:eastAsia="Times New Roman" w:hAnsi="Calibri" w:cs="Calibri"/>
                <w:b/>
                <w:bCs/>
                <w:color w:val="000000"/>
                <w:lang w:eastAsia="pl-PL"/>
              </w:rPr>
              <w:t>Część 8: Dostawa pipet, rękawiczek i pojemników laboratoryjnych</w:t>
            </w:r>
          </w:p>
        </w:tc>
        <w:tc>
          <w:tcPr>
            <w:tcW w:w="1584" w:type="dxa"/>
            <w:tcBorders>
              <w:top w:val="nil"/>
              <w:left w:val="nil"/>
              <w:bottom w:val="single" w:sz="4" w:space="0" w:color="auto"/>
              <w:right w:val="nil"/>
            </w:tcBorders>
            <w:shd w:val="clear" w:color="000000" w:fill="D9D9D9"/>
            <w:noWrap/>
            <w:vAlign w:val="bottom"/>
            <w:hideMark/>
          </w:tcPr>
          <w:p w14:paraId="1C6315E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c>
          <w:tcPr>
            <w:tcW w:w="787" w:type="dxa"/>
            <w:tcBorders>
              <w:top w:val="nil"/>
              <w:left w:val="nil"/>
              <w:bottom w:val="single" w:sz="4" w:space="0" w:color="auto"/>
              <w:right w:val="nil"/>
            </w:tcBorders>
            <w:shd w:val="clear" w:color="000000" w:fill="D9D9D9"/>
            <w:noWrap/>
            <w:vAlign w:val="bottom"/>
            <w:hideMark/>
          </w:tcPr>
          <w:p w14:paraId="204B83F4"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w:t>
            </w:r>
          </w:p>
        </w:tc>
      </w:tr>
      <w:tr w:rsidR="00CB32F5" w:rsidRPr="00CB32F5" w14:paraId="1F36920A"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457BC5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w:t>
            </w:r>
          </w:p>
        </w:tc>
        <w:tc>
          <w:tcPr>
            <w:tcW w:w="3129" w:type="dxa"/>
            <w:tcBorders>
              <w:top w:val="nil"/>
              <w:left w:val="nil"/>
              <w:bottom w:val="single" w:sz="4" w:space="0" w:color="auto"/>
              <w:right w:val="single" w:sz="4" w:space="0" w:color="auto"/>
            </w:tcBorders>
            <w:shd w:val="clear" w:color="000000" w:fill="FFFFFF"/>
            <w:noWrap/>
            <w:vAlign w:val="bottom"/>
            <w:hideMark/>
          </w:tcPr>
          <w:p w14:paraId="54E114B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Pipeta serologiczna</w:t>
            </w:r>
          </w:p>
        </w:tc>
        <w:tc>
          <w:tcPr>
            <w:tcW w:w="7264" w:type="dxa"/>
            <w:tcBorders>
              <w:top w:val="nil"/>
              <w:left w:val="nil"/>
              <w:bottom w:val="single" w:sz="4" w:space="0" w:color="auto"/>
              <w:right w:val="single" w:sz="4" w:space="0" w:color="auto"/>
            </w:tcBorders>
            <w:shd w:val="clear" w:color="000000" w:fill="FFFFFF"/>
            <w:vAlign w:val="bottom"/>
            <w:hideMark/>
          </w:tcPr>
          <w:p w14:paraId="59E3C84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Pipety serologiczne, pakowane indywidualnie, poj. 10,0 ml, skalowane co 0,01 ml, sterylne</w:t>
            </w:r>
          </w:p>
        </w:tc>
        <w:tc>
          <w:tcPr>
            <w:tcW w:w="1584" w:type="dxa"/>
            <w:tcBorders>
              <w:top w:val="nil"/>
              <w:left w:val="nil"/>
              <w:bottom w:val="single" w:sz="4" w:space="0" w:color="auto"/>
              <w:right w:val="single" w:sz="4" w:space="0" w:color="auto"/>
            </w:tcBorders>
            <w:shd w:val="clear" w:color="000000" w:fill="FFFFFF"/>
            <w:noWrap/>
            <w:vAlign w:val="bottom"/>
            <w:hideMark/>
          </w:tcPr>
          <w:p w14:paraId="12864C6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500 szt.</w:t>
            </w:r>
          </w:p>
        </w:tc>
        <w:tc>
          <w:tcPr>
            <w:tcW w:w="787" w:type="dxa"/>
            <w:tcBorders>
              <w:top w:val="nil"/>
              <w:left w:val="nil"/>
              <w:bottom w:val="single" w:sz="4" w:space="0" w:color="auto"/>
              <w:right w:val="single" w:sz="4" w:space="0" w:color="auto"/>
            </w:tcBorders>
            <w:shd w:val="clear" w:color="000000" w:fill="FFFFFF"/>
            <w:noWrap/>
            <w:vAlign w:val="bottom"/>
            <w:hideMark/>
          </w:tcPr>
          <w:p w14:paraId="452E607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6C1DD766"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B8D4BF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w:t>
            </w:r>
          </w:p>
        </w:tc>
        <w:tc>
          <w:tcPr>
            <w:tcW w:w="3129" w:type="dxa"/>
            <w:tcBorders>
              <w:top w:val="nil"/>
              <w:left w:val="nil"/>
              <w:bottom w:val="single" w:sz="4" w:space="0" w:color="auto"/>
              <w:right w:val="single" w:sz="4" w:space="0" w:color="auto"/>
            </w:tcBorders>
            <w:shd w:val="clear" w:color="000000" w:fill="FFFFFF"/>
            <w:noWrap/>
            <w:vAlign w:val="bottom"/>
            <w:hideMark/>
          </w:tcPr>
          <w:p w14:paraId="46A7533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Pipeta serologiczna</w:t>
            </w:r>
          </w:p>
        </w:tc>
        <w:tc>
          <w:tcPr>
            <w:tcW w:w="7264" w:type="dxa"/>
            <w:tcBorders>
              <w:top w:val="nil"/>
              <w:left w:val="nil"/>
              <w:bottom w:val="single" w:sz="4" w:space="0" w:color="auto"/>
              <w:right w:val="single" w:sz="4" w:space="0" w:color="auto"/>
            </w:tcBorders>
            <w:shd w:val="clear" w:color="000000" w:fill="FFFFFF"/>
            <w:vAlign w:val="bottom"/>
            <w:hideMark/>
          </w:tcPr>
          <w:p w14:paraId="1C311A36"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Pipety serologiczne, pakowane indywidualnie, poj. 25,0 ml, skalowane co 0,01 ml, sterylne</w:t>
            </w:r>
          </w:p>
        </w:tc>
        <w:tc>
          <w:tcPr>
            <w:tcW w:w="1584" w:type="dxa"/>
            <w:tcBorders>
              <w:top w:val="nil"/>
              <w:left w:val="nil"/>
              <w:bottom w:val="single" w:sz="4" w:space="0" w:color="auto"/>
              <w:right w:val="single" w:sz="4" w:space="0" w:color="auto"/>
            </w:tcBorders>
            <w:shd w:val="clear" w:color="000000" w:fill="FFFFFF"/>
            <w:noWrap/>
            <w:vAlign w:val="bottom"/>
            <w:hideMark/>
          </w:tcPr>
          <w:p w14:paraId="22C7554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542009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r>
      <w:tr w:rsidR="00CB32F5" w:rsidRPr="00CB32F5" w14:paraId="2EA00C5E"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FDD5E9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w:t>
            </w:r>
          </w:p>
        </w:tc>
        <w:tc>
          <w:tcPr>
            <w:tcW w:w="3129" w:type="dxa"/>
            <w:tcBorders>
              <w:top w:val="nil"/>
              <w:left w:val="nil"/>
              <w:bottom w:val="single" w:sz="4" w:space="0" w:color="auto"/>
              <w:right w:val="single" w:sz="4" w:space="0" w:color="auto"/>
            </w:tcBorders>
            <w:shd w:val="clear" w:color="000000" w:fill="FFFFFF"/>
            <w:noWrap/>
            <w:vAlign w:val="bottom"/>
            <w:hideMark/>
          </w:tcPr>
          <w:p w14:paraId="7A81938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Probówki </w:t>
            </w:r>
          </w:p>
        </w:tc>
        <w:tc>
          <w:tcPr>
            <w:tcW w:w="7264" w:type="dxa"/>
            <w:tcBorders>
              <w:top w:val="nil"/>
              <w:left w:val="nil"/>
              <w:bottom w:val="single" w:sz="4" w:space="0" w:color="auto"/>
              <w:right w:val="single" w:sz="4" w:space="0" w:color="auto"/>
            </w:tcBorders>
            <w:shd w:val="clear" w:color="000000" w:fill="FFFFFF"/>
            <w:vAlign w:val="bottom"/>
            <w:hideMark/>
          </w:tcPr>
          <w:p w14:paraId="58066EE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sterylne z polistyrenu, z korkiem, bez znaczników, bez kołnierza, poj. 11 ml, 16 x 100 mm, 8x50 szt.</w:t>
            </w:r>
          </w:p>
        </w:tc>
        <w:tc>
          <w:tcPr>
            <w:tcW w:w="1584" w:type="dxa"/>
            <w:tcBorders>
              <w:top w:val="nil"/>
              <w:left w:val="nil"/>
              <w:bottom w:val="single" w:sz="4" w:space="0" w:color="auto"/>
              <w:right w:val="single" w:sz="4" w:space="0" w:color="auto"/>
            </w:tcBorders>
            <w:shd w:val="clear" w:color="000000" w:fill="FFFFFF"/>
            <w:noWrap/>
            <w:vAlign w:val="bottom"/>
            <w:hideMark/>
          </w:tcPr>
          <w:p w14:paraId="09D85B8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400 szt. </w:t>
            </w:r>
          </w:p>
        </w:tc>
        <w:tc>
          <w:tcPr>
            <w:tcW w:w="787" w:type="dxa"/>
            <w:tcBorders>
              <w:top w:val="nil"/>
              <w:left w:val="nil"/>
              <w:bottom w:val="single" w:sz="4" w:space="0" w:color="auto"/>
              <w:right w:val="single" w:sz="4" w:space="0" w:color="auto"/>
            </w:tcBorders>
            <w:shd w:val="clear" w:color="000000" w:fill="FFFFFF"/>
            <w:noWrap/>
            <w:vAlign w:val="bottom"/>
            <w:hideMark/>
          </w:tcPr>
          <w:p w14:paraId="4C3BD67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w:t>
            </w:r>
          </w:p>
        </w:tc>
      </w:tr>
      <w:tr w:rsidR="00CB32F5" w:rsidRPr="00CB32F5" w14:paraId="6AB3F73F"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D074A4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c>
          <w:tcPr>
            <w:tcW w:w="3129" w:type="dxa"/>
            <w:tcBorders>
              <w:top w:val="nil"/>
              <w:left w:val="nil"/>
              <w:bottom w:val="single" w:sz="4" w:space="0" w:color="auto"/>
              <w:right w:val="single" w:sz="4" w:space="0" w:color="auto"/>
            </w:tcBorders>
            <w:shd w:val="clear" w:color="000000" w:fill="FFFFFF"/>
            <w:vAlign w:val="bottom"/>
            <w:hideMark/>
          </w:tcPr>
          <w:p w14:paraId="2BB8DD8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Kasety na probówki do głębokiego zamrażania</w:t>
            </w:r>
          </w:p>
        </w:tc>
        <w:tc>
          <w:tcPr>
            <w:tcW w:w="7264" w:type="dxa"/>
            <w:tcBorders>
              <w:top w:val="nil"/>
              <w:left w:val="nil"/>
              <w:bottom w:val="single" w:sz="4" w:space="0" w:color="auto"/>
              <w:right w:val="single" w:sz="4" w:space="0" w:color="auto"/>
            </w:tcBorders>
            <w:shd w:val="clear" w:color="000000" w:fill="FFFFFF"/>
            <w:vAlign w:val="bottom"/>
            <w:hideMark/>
          </w:tcPr>
          <w:p w14:paraId="6E187C08"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Kaseta polipropylenowa na probówki 1,8 i 2 ml, do głębokiego zamrażania, 81-miejscowa, wymiary 131 x 131 x 45 mm</w:t>
            </w:r>
          </w:p>
        </w:tc>
        <w:tc>
          <w:tcPr>
            <w:tcW w:w="1584" w:type="dxa"/>
            <w:tcBorders>
              <w:top w:val="nil"/>
              <w:left w:val="nil"/>
              <w:bottom w:val="single" w:sz="4" w:space="0" w:color="auto"/>
              <w:right w:val="single" w:sz="4" w:space="0" w:color="auto"/>
            </w:tcBorders>
            <w:shd w:val="clear" w:color="000000" w:fill="FFFFFF"/>
            <w:noWrap/>
            <w:vAlign w:val="bottom"/>
            <w:hideMark/>
          </w:tcPr>
          <w:p w14:paraId="3C5B2AE1"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noWrap/>
            <w:vAlign w:val="bottom"/>
            <w:hideMark/>
          </w:tcPr>
          <w:p w14:paraId="1088C9D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20</w:t>
            </w:r>
          </w:p>
        </w:tc>
      </w:tr>
      <w:tr w:rsidR="00CB32F5" w:rsidRPr="00CB32F5" w14:paraId="4E7E648B"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15212A4B"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c>
          <w:tcPr>
            <w:tcW w:w="3129" w:type="dxa"/>
            <w:tcBorders>
              <w:top w:val="nil"/>
              <w:left w:val="nil"/>
              <w:bottom w:val="single" w:sz="4" w:space="0" w:color="auto"/>
              <w:right w:val="single" w:sz="4" w:space="0" w:color="auto"/>
            </w:tcBorders>
            <w:shd w:val="clear" w:color="000000" w:fill="FFFFFF"/>
            <w:noWrap/>
            <w:vAlign w:val="bottom"/>
            <w:hideMark/>
          </w:tcPr>
          <w:p w14:paraId="3460432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Pudełka na probówki</w:t>
            </w:r>
          </w:p>
        </w:tc>
        <w:tc>
          <w:tcPr>
            <w:tcW w:w="7264" w:type="dxa"/>
            <w:tcBorders>
              <w:top w:val="nil"/>
              <w:left w:val="nil"/>
              <w:bottom w:val="single" w:sz="4" w:space="0" w:color="auto"/>
              <w:right w:val="single" w:sz="4" w:space="0" w:color="auto"/>
            </w:tcBorders>
            <w:shd w:val="clear" w:color="000000" w:fill="FFFFFF"/>
            <w:vAlign w:val="bottom"/>
            <w:hideMark/>
          </w:tcPr>
          <w:p w14:paraId="6BFC388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Pudełko tekturowe na probówki typu Eppendorf, do głębokiego zamrażania, 100-miejscowe, 135 x 135 x 47 mm</w:t>
            </w:r>
          </w:p>
        </w:tc>
        <w:tc>
          <w:tcPr>
            <w:tcW w:w="1584" w:type="dxa"/>
            <w:tcBorders>
              <w:top w:val="nil"/>
              <w:left w:val="nil"/>
              <w:bottom w:val="single" w:sz="4" w:space="0" w:color="auto"/>
              <w:right w:val="single" w:sz="4" w:space="0" w:color="auto"/>
            </w:tcBorders>
            <w:shd w:val="clear" w:color="000000" w:fill="FFFFFF"/>
            <w:noWrap/>
            <w:vAlign w:val="bottom"/>
            <w:hideMark/>
          </w:tcPr>
          <w:p w14:paraId="46128B2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 szt. </w:t>
            </w:r>
          </w:p>
        </w:tc>
        <w:tc>
          <w:tcPr>
            <w:tcW w:w="787" w:type="dxa"/>
            <w:tcBorders>
              <w:top w:val="nil"/>
              <w:left w:val="nil"/>
              <w:bottom w:val="single" w:sz="4" w:space="0" w:color="auto"/>
              <w:right w:val="single" w:sz="4" w:space="0" w:color="auto"/>
            </w:tcBorders>
            <w:shd w:val="clear" w:color="000000" w:fill="FFFFFF"/>
            <w:noWrap/>
            <w:vAlign w:val="bottom"/>
            <w:hideMark/>
          </w:tcPr>
          <w:p w14:paraId="50725D9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r>
      <w:tr w:rsidR="00CB32F5" w:rsidRPr="00CB32F5" w14:paraId="1174F459"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61E402C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c>
          <w:tcPr>
            <w:tcW w:w="3129" w:type="dxa"/>
            <w:tcBorders>
              <w:top w:val="nil"/>
              <w:left w:val="nil"/>
              <w:bottom w:val="single" w:sz="4" w:space="0" w:color="auto"/>
              <w:right w:val="single" w:sz="4" w:space="0" w:color="auto"/>
            </w:tcBorders>
            <w:shd w:val="clear" w:color="000000" w:fill="FFFFFF"/>
            <w:noWrap/>
            <w:vAlign w:val="bottom"/>
            <w:hideMark/>
          </w:tcPr>
          <w:p w14:paraId="034BAE2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Szalki Petriego</w:t>
            </w:r>
          </w:p>
        </w:tc>
        <w:tc>
          <w:tcPr>
            <w:tcW w:w="7264" w:type="dxa"/>
            <w:tcBorders>
              <w:top w:val="nil"/>
              <w:left w:val="nil"/>
              <w:bottom w:val="single" w:sz="4" w:space="0" w:color="auto"/>
              <w:right w:val="single" w:sz="4" w:space="0" w:color="auto"/>
            </w:tcBorders>
            <w:shd w:val="clear" w:color="000000" w:fill="FFFFFF"/>
            <w:vAlign w:val="bottom"/>
            <w:hideMark/>
          </w:tcPr>
          <w:p w14:paraId="09645BB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Szalki Petriego z polistyrenu, z żebrami wentylacyjnymi, 90 x 14,2 mm, sterylne</w:t>
            </w:r>
          </w:p>
        </w:tc>
        <w:tc>
          <w:tcPr>
            <w:tcW w:w="1584" w:type="dxa"/>
            <w:tcBorders>
              <w:top w:val="nil"/>
              <w:left w:val="nil"/>
              <w:bottom w:val="single" w:sz="4" w:space="0" w:color="auto"/>
              <w:right w:val="single" w:sz="4" w:space="0" w:color="auto"/>
            </w:tcBorders>
            <w:shd w:val="clear" w:color="000000" w:fill="FFFFFF"/>
            <w:noWrap/>
            <w:vAlign w:val="bottom"/>
            <w:hideMark/>
          </w:tcPr>
          <w:p w14:paraId="6A20587F"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600 szt.</w:t>
            </w:r>
          </w:p>
        </w:tc>
        <w:tc>
          <w:tcPr>
            <w:tcW w:w="787" w:type="dxa"/>
            <w:tcBorders>
              <w:top w:val="nil"/>
              <w:left w:val="nil"/>
              <w:bottom w:val="single" w:sz="4" w:space="0" w:color="auto"/>
              <w:right w:val="single" w:sz="4" w:space="0" w:color="auto"/>
            </w:tcBorders>
            <w:shd w:val="clear" w:color="000000" w:fill="FFFFFF"/>
            <w:noWrap/>
            <w:vAlign w:val="bottom"/>
            <w:hideMark/>
          </w:tcPr>
          <w:p w14:paraId="75EFF41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30</w:t>
            </w:r>
          </w:p>
        </w:tc>
      </w:tr>
      <w:tr w:rsidR="00CB32F5" w:rsidRPr="00CB32F5" w14:paraId="3562E234"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ECEBEE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lastRenderedPageBreak/>
              <w:t>7</w:t>
            </w:r>
          </w:p>
        </w:tc>
        <w:tc>
          <w:tcPr>
            <w:tcW w:w="3129" w:type="dxa"/>
            <w:tcBorders>
              <w:top w:val="nil"/>
              <w:left w:val="nil"/>
              <w:bottom w:val="single" w:sz="4" w:space="0" w:color="auto"/>
              <w:right w:val="single" w:sz="4" w:space="0" w:color="auto"/>
            </w:tcBorders>
            <w:shd w:val="clear" w:color="000000" w:fill="FFFFFF"/>
            <w:noWrap/>
            <w:vAlign w:val="bottom"/>
            <w:hideMark/>
          </w:tcPr>
          <w:p w14:paraId="6C7E126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Ezy polistyrenowe, sterylne</w:t>
            </w:r>
          </w:p>
        </w:tc>
        <w:tc>
          <w:tcPr>
            <w:tcW w:w="7264" w:type="dxa"/>
            <w:tcBorders>
              <w:top w:val="nil"/>
              <w:left w:val="nil"/>
              <w:bottom w:val="single" w:sz="4" w:space="0" w:color="auto"/>
              <w:right w:val="single" w:sz="4" w:space="0" w:color="auto"/>
            </w:tcBorders>
            <w:shd w:val="clear" w:color="000000" w:fill="FFFFFF"/>
            <w:vAlign w:val="bottom"/>
            <w:hideMark/>
          </w:tcPr>
          <w:p w14:paraId="3B94267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Ezy bakteriologiczne z polistyrenu, oczko 1 µl/igła, sterylne, pakowane po 20 szt.</w:t>
            </w:r>
          </w:p>
        </w:tc>
        <w:tc>
          <w:tcPr>
            <w:tcW w:w="1584" w:type="dxa"/>
            <w:tcBorders>
              <w:top w:val="nil"/>
              <w:left w:val="nil"/>
              <w:bottom w:val="single" w:sz="4" w:space="0" w:color="auto"/>
              <w:right w:val="single" w:sz="4" w:space="0" w:color="auto"/>
            </w:tcBorders>
            <w:shd w:val="clear" w:color="000000" w:fill="FFFFFF"/>
            <w:noWrap/>
            <w:vAlign w:val="bottom"/>
            <w:hideMark/>
          </w:tcPr>
          <w:p w14:paraId="3D94C6F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1000 szt.</w:t>
            </w:r>
          </w:p>
        </w:tc>
        <w:tc>
          <w:tcPr>
            <w:tcW w:w="787" w:type="dxa"/>
            <w:tcBorders>
              <w:top w:val="nil"/>
              <w:left w:val="nil"/>
              <w:bottom w:val="single" w:sz="4" w:space="0" w:color="auto"/>
              <w:right w:val="single" w:sz="4" w:space="0" w:color="auto"/>
            </w:tcBorders>
            <w:shd w:val="clear" w:color="000000" w:fill="FFFFFF"/>
            <w:noWrap/>
            <w:vAlign w:val="bottom"/>
            <w:hideMark/>
          </w:tcPr>
          <w:p w14:paraId="0FA12DB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7103B167"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D8CA4E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8</w:t>
            </w:r>
          </w:p>
        </w:tc>
        <w:tc>
          <w:tcPr>
            <w:tcW w:w="3129" w:type="dxa"/>
            <w:tcBorders>
              <w:top w:val="nil"/>
              <w:left w:val="nil"/>
              <w:bottom w:val="single" w:sz="4" w:space="0" w:color="auto"/>
              <w:right w:val="single" w:sz="4" w:space="0" w:color="auto"/>
            </w:tcBorders>
            <w:shd w:val="clear" w:color="000000" w:fill="FFFFFF"/>
            <w:vAlign w:val="bottom"/>
            <w:hideMark/>
          </w:tcPr>
          <w:p w14:paraId="079E2A3A"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bezpudrowe nitrylowe</w:t>
            </w:r>
          </w:p>
        </w:tc>
        <w:tc>
          <w:tcPr>
            <w:tcW w:w="7264" w:type="dxa"/>
            <w:tcBorders>
              <w:top w:val="nil"/>
              <w:left w:val="nil"/>
              <w:bottom w:val="single" w:sz="4" w:space="0" w:color="auto"/>
              <w:right w:val="single" w:sz="4" w:space="0" w:color="auto"/>
            </w:tcBorders>
            <w:shd w:val="clear" w:color="000000" w:fill="FFFFFF"/>
            <w:vAlign w:val="bottom"/>
            <w:hideMark/>
          </w:tcPr>
          <w:p w14:paraId="59C6A86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diagnostyczne bezpudrowe, nitrylowe, rozmiar S</w:t>
            </w:r>
          </w:p>
        </w:tc>
        <w:tc>
          <w:tcPr>
            <w:tcW w:w="1584" w:type="dxa"/>
            <w:tcBorders>
              <w:top w:val="nil"/>
              <w:left w:val="nil"/>
              <w:bottom w:val="single" w:sz="4" w:space="0" w:color="auto"/>
              <w:right w:val="single" w:sz="4" w:space="0" w:color="auto"/>
            </w:tcBorders>
            <w:shd w:val="clear" w:color="000000" w:fill="FFFFFF"/>
            <w:noWrap/>
            <w:vAlign w:val="bottom"/>
            <w:hideMark/>
          </w:tcPr>
          <w:p w14:paraId="3537F74D"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3F17041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w:t>
            </w:r>
          </w:p>
        </w:tc>
      </w:tr>
      <w:tr w:rsidR="00CB32F5" w:rsidRPr="00CB32F5" w14:paraId="347E9ECB"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5B9A338"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9</w:t>
            </w:r>
          </w:p>
        </w:tc>
        <w:tc>
          <w:tcPr>
            <w:tcW w:w="3129" w:type="dxa"/>
            <w:tcBorders>
              <w:top w:val="nil"/>
              <w:left w:val="nil"/>
              <w:bottom w:val="single" w:sz="4" w:space="0" w:color="auto"/>
              <w:right w:val="single" w:sz="4" w:space="0" w:color="auto"/>
            </w:tcBorders>
            <w:shd w:val="clear" w:color="000000" w:fill="FFFFFF"/>
            <w:vAlign w:val="bottom"/>
            <w:hideMark/>
          </w:tcPr>
          <w:p w14:paraId="2DB77D4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bezpudrowe nitrylowe</w:t>
            </w:r>
          </w:p>
        </w:tc>
        <w:tc>
          <w:tcPr>
            <w:tcW w:w="7264" w:type="dxa"/>
            <w:tcBorders>
              <w:top w:val="nil"/>
              <w:left w:val="nil"/>
              <w:bottom w:val="single" w:sz="4" w:space="0" w:color="auto"/>
              <w:right w:val="single" w:sz="4" w:space="0" w:color="auto"/>
            </w:tcBorders>
            <w:shd w:val="clear" w:color="000000" w:fill="FFFFFF"/>
            <w:vAlign w:val="bottom"/>
            <w:hideMark/>
          </w:tcPr>
          <w:p w14:paraId="734DCFC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diagnostyczne bezpudrowe, nitrylowe, rozmiar M</w:t>
            </w:r>
          </w:p>
        </w:tc>
        <w:tc>
          <w:tcPr>
            <w:tcW w:w="1584" w:type="dxa"/>
            <w:tcBorders>
              <w:top w:val="nil"/>
              <w:left w:val="nil"/>
              <w:bottom w:val="single" w:sz="4" w:space="0" w:color="auto"/>
              <w:right w:val="single" w:sz="4" w:space="0" w:color="auto"/>
            </w:tcBorders>
            <w:shd w:val="clear" w:color="000000" w:fill="FFFFFF"/>
            <w:noWrap/>
            <w:vAlign w:val="bottom"/>
            <w:hideMark/>
          </w:tcPr>
          <w:p w14:paraId="0B28EDF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3C3E137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w:t>
            </w:r>
          </w:p>
        </w:tc>
      </w:tr>
      <w:tr w:rsidR="00CB32F5" w:rsidRPr="00CB32F5" w14:paraId="379E3C26"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789E994D"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w:t>
            </w:r>
          </w:p>
        </w:tc>
        <w:tc>
          <w:tcPr>
            <w:tcW w:w="3129" w:type="dxa"/>
            <w:tcBorders>
              <w:top w:val="nil"/>
              <w:left w:val="nil"/>
              <w:bottom w:val="single" w:sz="4" w:space="0" w:color="auto"/>
              <w:right w:val="single" w:sz="4" w:space="0" w:color="auto"/>
            </w:tcBorders>
            <w:shd w:val="clear" w:color="000000" w:fill="FFFFFF"/>
            <w:vAlign w:val="bottom"/>
            <w:hideMark/>
          </w:tcPr>
          <w:p w14:paraId="776C0AB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bezpudrowe nitrylowe</w:t>
            </w:r>
          </w:p>
        </w:tc>
        <w:tc>
          <w:tcPr>
            <w:tcW w:w="7264" w:type="dxa"/>
            <w:tcBorders>
              <w:top w:val="nil"/>
              <w:left w:val="nil"/>
              <w:bottom w:val="single" w:sz="4" w:space="0" w:color="auto"/>
              <w:right w:val="single" w:sz="4" w:space="0" w:color="auto"/>
            </w:tcBorders>
            <w:shd w:val="clear" w:color="000000" w:fill="FFFFFF"/>
            <w:vAlign w:val="bottom"/>
            <w:hideMark/>
          </w:tcPr>
          <w:p w14:paraId="06E4167B"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Rękawiczki diagnostyczne bezpudrowe, nitrylowe, rozmiar L</w:t>
            </w:r>
          </w:p>
        </w:tc>
        <w:tc>
          <w:tcPr>
            <w:tcW w:w="1584" w:type="dxa"/>
            <w:tcBorders>
              <w:top w:val="nil"/>
              <w:left w:val="nil"/>
              <w:bottom w:val="single" w:sz="4" w:space="0" w:color="auto"/>
              <w:right w:val="single" w:sz="4" w:space="0" w:color="auto"/>
            </w:tcBorders>
            <w:shd w:val="clear" w:color="000000" w:fill="FFFFFF"/>
            <w:noWrap/>
            <w:vAlign w:val="bottom"/>
            <w:hideMark/>
          </w:tcPr>
          <w:p w14:paraId="773F13D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49EA2BC7"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50</w:t>
            </w:r>
          </w:p>
        </w:tc>
      </w:tr>
      <w:tr w:rsidR="00CB32F5" w:rsidRPr="00CB32F5" w14:paraId="2FC7DFAD"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4C7642E3"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11</w:t>
            </w:r>
          </w:p>
        </w:tc>
        <w:tc>
          <w:tcPr>
            <w:tcW w:w="3129" w:type="dxa"/>
            <w:tcBorders>
              <w:top w:val="nil"/>
              <w:left w:val="nil"/>
              <w:bottom w:val="single" w:sz="4" w:space="0" w:color="auto"/>
              <w:right w:val="single" w:sz="4" w:space="0" w:color="auto"/>
            </w:tcBorders>
            <w:shd w:val="clear" w:color="000000" w:fill="FFFFFF"/>
            <w:vAlign w:val="bottom"/>
            <w:hideMark/>
          </w:tcPr>
          <w:p w14:paraId="6FF0EA6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zapięciem strunowym</w:t>
            </w:r>
          </w:p>
        </w:tc>
        <w:tc>
          <w:tcPr>
            <w:tcW w:w="7264" w:type="dxa"/>
            <w:tcBorders>
              <w:top w:val="nil"/>
              <w:left w:val="nil"/>
              <w:bottom w:val="single" w:sz="4" w:space="0" w:color="auto"/>
              <w:right w:val="single" w:sz="4" w:space="0" w:color="auto"/>
            </w:tcBorders>
            <w:shd w:val="clear" w:color="000000" w:fill="FFFFFF"/>
            <w:vAlign w:val="bottom"/>
            <w:hideMark/>
          </w:tcPr>
          <w:p w14:paraId="085E9AB7"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zapięciem strunowym, z polietylenu, 80 x 120 mm</w:t>
            </w:r>
          </w:p>
        </w:tc>
        <w:tc>
          <w:tcPr>
            <w:tcW w:w="1584" w:type="dxa"/>
            <w:tcBorders>
              <w:top w:val="nil"/>
              <w:left w:val="nil"/>
              <w:bottom w:val="single" w:sz="4" w:space="0" w:color="auto"/>
              <w:right w:val="single" w:sz="4" w:space="0" w:color="auto"/>
            </w:tcBorders>
            <w:shd w:val="clear" w:color="000000" w:fill="FFFFFF"/>
            <w:noWrap/>
            <w:vAlign w:val="bottom"/>
            <w:hideMark/>
          </w:tcPr>
          <w:p w14:paraId="306211A8"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3D4C3632"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229B1030"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1DCBC94"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c>
          <w:tcPr>
            <w:tcW w:w="3129" w:type="dxa"/>
            <w:tcBorders>
              <w:top w:val="nil"/>
              <w:left w:val="nil"/>
              <w:bottom w:val="single" w:sz="4" w:space="0" w:color="auto"/>
              <w:right w:val="single" w:sz="4" w:space="0" w:color="auto"/>
            </w:tcBorders>
            <w:shd w:val="clear" w:color="000000" w:fill="FFFFFF"/>
            <w:vAlign w:val="bottom"/>
            <w:hideMark/>
          </w:tcPr>
          <w:p w14:paraId="2C3B2D3E"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zapięciem strunowym</w:t>
            </w:r>
          </w:p>
        </w:tc>
        <w:tc>
          <w:tcPr>
            <w:tcW w:w="7264" w:type="dxa"/>
            <w:tcBorders>
              <w:top w:val="nil"/>
              <w:left w:val="nil"/>
              <w:bottom w:val="single" w:sz="4" w:space="0" w:color="auto"/>
              <w:right w:val="single" w:sz="4" w:space="0" w:color="auto"/>
            </w:tcBorders>
            <w:shd w:val="clear" w:color="000000" w:fill="FFFFFF"/>
            <w:vAlign w:val="bottom"/>
            <w:hideMark/>
          </w:tcPr>
          <w:p w14:paraId="7543753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zapięciem strunowym, z polietylenu, 200 x 300 mm</w:t>
            </w:r>
          </w:p>
        </w:tc>
        <w:tc>
          <w:tcPr>
            <w:tcW w:w="1584" w:type="dxa"/>
            <w:tcBorders>
              <w:top w:val="nil"/>
              <w:left w:val="nil"/>
              <w:bottom w:val="single" w:sz="4" w:space="0" w:color="auto"/>
              <w:right w:val="single" w:sz="4" w:space="0" w:color="auto"/>
            </w:tcBorders>
            <w:shd w:val="clear" w:color="000000" w:fill="FFFFFF"/>
            <w:noWrap/>
            <w:vAlign w:val="bottom"/>
            <w:hideMark/>
          </w:tcPr>
          <w:p w14:paraId="37F3D88E"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20C78DE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w:t>
            </w:r>
          </w:p>
        </w:tc>
      </w:tr>
      <w:tr w:rsidR="00CB32F5" w:rsidRPr="00CB32F5" w14:paraId="1500CA15"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1C8C94C"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13</w:t>
            </w:r>
          </w:p>
        </w:tc>
        <w:tc>
          <w:tcPr>
            <w:tcW w:w="3129" w:type="dxa"/>
            <w:tcBorders>
              <w:top w:val="nil"/>
              <w:left w:val="nil"/>
              <w:bottom w:val="single" w:sz="4" w:space="0" w:color="auto"/>
              <w:right w:val="single" w:sz="4" w:space="0" w:color="auto"/>
            </w:tcBorders>
            <w:shd w:val="clear" w:color="000000" w:fill="FFFFFF"/>
            <w:vAlign w:val="bottom"/>
            <w:hideMark/>
          </w:tcPr>
          <w:p w14:paraId="7EDF238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Probówki wirownicze </w:t>
            </w:r>
          </w:p>
        </w:tc>
        <w:tc>
          <w:tcPr>
            <w:tcW w:w="7264" w:type="dxa"/>
            <w:tcBorders>
              <w:top w:val="nil"/>
              <w:left w:val="nil"/>
              <w:bottom w:val="single" w:sz="4" w:space="0" w:color="auto"/>
              <w:right w:val="single" w:sz="4" w:space="0" w:color="auto"/>
            </w:tcBorders>
            <w:shd w:val="clear" w:color="000000" w:fill="FFFFFF"/>
            <w:vAlign w:val="bottom"/>
            <w:hideMark/>
          </w:tcPr>
          <w:p w14:paraId="5161DCDC"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wirownicze typu Eppendorf, poj. 2 ml, bezbarwne</w:t>
            </w:r>
          </w:p>
        </w:tc>
        <w:tc>
          <w:tcPr>
            <w:tcW w:w="1584" w:type="dxa"/>
            <w:tcBorders>
              <w:top w:val="nil"/>
              <w:left w:val="nil"/>
              <w:bottom w:val="single" w:sz="4" w:space="0" w:color="auto"/>
              <w:right w:val="single" w:sz="4" w:space="0" w:color="auto"/>
            </w:tcBorders>
            <w:shd w:val="clear" w:color="000000" w:fill="FFFFFF"/>
            <w:noWrap/>
            <w:vAlign w:val="bottom"/>
            <w:hideMark/>
          </w:tcPr>
          <w:p w14:paraId="3262CB6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1000 szt.</w:t>
            </w:r>
          </w:p>
        </w:tc>
        <w:tc>
          <w:tcPr>
            <w:tcW w:w="787" w:type="dxa"/>
            <w:tcBorders>
              <w:top w:val="nil"/>
              <w:left w:val="nil"/>
              <w:bottom w:val="single" w:sz="4" w:space="0" w:color="auto"/>
              <w:right w:val="single" w:sz="4" w:space="0" w:color="auto"/>
            </w:tcBorders>
            <w:shd w:val="clear" w:color="000000" w:fill="FFFFFF"/>
            <w:noWrap/>
            <w:vAlign w:val="bottom"/>
            <w:hideMark/>
          </w:tcPr>
          <w:p w14:paraId="1321DBFA"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r>
      <w:tr w:rsidR="00CB32F5" w:rsidRPr="00CB32F5" w14:paraId="5619E323"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5A554D50"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14</w:t>
            </w:r>
          </w:p>
        </w:tc>
        <w:tc>
          <w:tcPr>
            <w:tcW w:w="3129" w:type="dxa"/>
            <w:tcBorders>
              <w:top w:val="nil"/>
              <w:left w:val="nil"/>
              <w:bottom w:val="single" w:sz="4" w:space="0" w:color="auto"/>
              <w:right w:val="single" w:sz="4" w:space="0" w:color="auto"/>
            </w:tcBorders>
            <w:shd w:val="clear" w:color="000000" w:fill="FFFFFF"/>
            <w:vAlign w:val="bottom"/>
            <w:hideMark/>
          </w:tcPr>
          <w:p w14:paraId="1583CD0F"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Probówki wirownicze </w:t>
            </w:r>
          </w:p>
        </w:tc>
        <w:tc>
          <w:tcPr>
            <w:tcW w:w="7264" w:type="dxa"/>
            <w:tcBorders>
              <w:top w:val="nil"/>
              <w:left w:val="nil"/>
              <w:bottom w:val="single" w:sz="4" w:space="0" w:color="auto"/>
              <w:right w:val="single" w:sz="4" w:space="0" w:color="auto"/>
            </w:tcBorders>
            <w:shd w:val="clear" w:color="000000" w:fill="FFFFFF"/>
            <w:vAlign w:val="bottom"/>
            <w:hideMark/>
          </w:tcPr>
          <w:p w14:paraId="7C5E6780"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Probówki wirownicze typu Eppendorf, poj. 1,5 ml, bezbarwne</w:t>
            </w:r>
          </w:p>
        </w:tc>
        <w:tc>
          <w:tcPr>
            <w:tcW w:w="1584" w:type="dxa"/>
            <w:tcBorders>
              <w:top w:val="nil"/>
              <w:left w:val="nil"/>
              <w:bottom w:val="single" w:sz="4" w:space="0" w:color="auto"/>
              <w:right w:val="single" w:sz="4" w:space="0" w:color="auto"/>
            </w:tcBorders>
            <w:shd w:val="clear" w:color="000000" w:fill="FFFFFF"/>
            <w:noWrap/>
            <w:vAlign w:val="bottom"/>
            <w:hideMark/>
          </w:tcPr>
          <w:p w14:paraId="4CB59C6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 xml:space="preserve">1000 szt. </w:t>
            </w:r>
          </w:p>
        </w:tc>
        <w:tc>
          <w:tcPr>
            <w:tcW w:w="787" w:type="dxa"/>
            <w:tcBorders>
              <w:top w:val="nil"/>
              <w:left w:val="nil"/>
              <w:bottom w:val="single" w:sz="4" w:space="0" w:color="auto"/>
              <w:right w:val="single" w:sz="4" w:space="0" w:color="auto"/>
            </w:tcBorders>
            <w:shd w:val="clear" w:color="000000" w:fill="FFFFFF"/>
            <w:noWrap/>
            <w:vAlign w:val="bottom"/>
            <w:hideMark/>
          </w:tcPr>
          <w:p w14:paraId="6E3DDB7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60</w:t>
            </w:r>
          </w:p>
        </w:tc>
      </w:tr>
      <w:tr w:rsidR="00CB32F5" w:rsidRPr="00CB32F5" w14:paraId="6A70D215"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3A2B8D75"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15</w:t>
            </w:r>
          </w:p>
        </w:tc>
        <w:tc>
          <w:tcPr>
            <w:tcW w:w="3129" w:type="dxa"/>
            <w:tcBorders>
              <w:top w:val="nil"/>
              <w:left w:val="nil"/>
              <w:bottom w:val="single" w:sz="4" w:space="0" w:color="auto"/>
              <w:right w:val="single" w:sz="4" w:space="0" w:color="auto"/>
            </w:tcBorders>
            <w:shd w:val="clear" w:color="000000" w:fill="FFFFFF"/>
            <w:vAlign w:val="bottom"/>
            <w:hideMark/>
          </w:tcPr>
          <w:p w14:paraId="33DE8FE1"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Pojemniki na odpady</w:t>
            </w:r>
          </w:p>
        </w:tc>
        <w:tc>
          <w:tcPr>
            <w:tcW w:w="7264" w:type="dxa"/>
            <w:tcBorders>
              <w:top w:val="nil"/>
              <w:left w:val="nil"/>
              <w:bottom w:val="single" w:sz="4" w:space="0" w:color="auto"/>
              <w:right w:val="single" w:sz="4" w:space="0" w:color="auto"/>
            </w:tcBorders>
            <w:shd w:val="clear" w:color="000000" w:fill="FFFFFF"/>
            <w:noWrap/>
            <w:vAlign w:val="bottom"/>
            <w:hideMark/>
          </w:tcPr>
          <w:p w14:paraId="7C42846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Pojemnik na odpady, z tworzywa, poj. 0,6 litra</w:t>
            </w:r>
          </w:p>
        </w:tc>
        <w:tc>
          <w:tcPr>
            <w:tcW w:w="1584" w:type="dxa"/>
            <w:tcBorders>
              <w:top w:val="nil"/>
              <w:left w:val="nil"/>
              <w:bottom w:val="single" w:sz="4" w:space="0" w:color="auto"/>
              <w:right w:val="single" w:sz="4" w:space="0" w:color="auto"/>
            </w:tcBorders>
            <w:shd w:val="clear" w:color="000000" w:fill="FFFFFF"/>
            <w:noWrap/>
            <w:vAlign w:val="bottom"/>
            <w:hideMark/>
          </w:tcPr>
          <w:p w14:paraId="1EDF33B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noWrap/>
            <w:vAlign w:val="bottom"/>
            <w:hideMark/>
          </w:tcPr>
          <w:p w14:paraId="73CF154B"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37C1DDCE"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53868F1"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16</w:t>
            </w:r>
          </w:p>
        </w:tc>
        <w:tc>
          <w:tcPr>
            <w:tcW w:w="3129" w:type="dxa"/>
            <w:tcBorders>
              <w:top w:val="nil"/>
              <w:left w:val="nil"/>
              <w:bottom w:val="single" w:sz="4" w:space="0" w:color="auto"/>
              <w:right w:val="single" w:sz="4" w:space="0" w:color="auto"/>
            </w:tcBorders>
            <w:shd w:val="clear" w:color="000000" w:fill="FFFFFF"/>
            <w:vAlign w:val="bottom"/>
            <w:hideMark/>
          </w:tcPr>
          <w:p w14:paraId="601E9BF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Pojemniki na odpady</w:t>
            </w:r>
          </w:p>
        </w:tc>
        <w:tc>
          <w:tcPr>
            <w:tcW w:w="7264" w:type="dxa"/>
            <w:tcBorders>
              <w:top w:val="nil"/>
              <w:left w:val="nil"/>
              <w:bottom w:val="single" w:sz="4" w:space="0" w:color="auto"/>
              <w:right w:val="single" w:sz="4" w:space="0" w:color="auto"/>
            </w:tcBorders>
            <w:shd w:val="clear" w:color="000000" w:fill="FFFFFF"/>
            <w:noWrap/>
            <w:vAlign w:val="bottom"/>
            <w:hideMark/>
          </w:tcPr>
          <w:p w14:paraId="11518E2D"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Pojemnik na odpady, z tworzywa, poj. 1,0 litr</w:t>
            </w:r>
          </w:p>
        </w:tc>
        <w:tc>
          <w:tcPr>
            <w:tcW w:w="1584" w:type="dxa"/>
            <w:tcBorders>
              <w:top w:val="nil"/>
              <w:left w:val="nil"/>
              <w:bottom w:val="single" w:sz="4" w:space="0" w:color="auto"/>
              <w:right w:val="single" w:sz="4" w:space="0" w:color="auto"/>
            </w:tcBorders>
            <w:shd w:val="clear" w:color="000000" w:fill="FFFFFF"/>
            <w:noWrap/>
            <w:vAlign w:val="bottom"/>
            <w:hideMark/>
          </w:tcPr>
          <w:p w14:paraId="00C8001C"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 szt.</w:t>
            </w:r>
          </w:p>
        </w:tc>
        <w:tc>
          <w:tcPr>
            <w:tcW w:w="787" w:type="dxa"/>
            <w:tcBorders>
              <w:top w:val="nil"/>
              <w:left w:val="nil"/>
              <w:bottom w:val="single" w:sz="4" w:space="0" w:color="auto"/>
              <w:right w:val="single" w:sz="4" w:space="0" w:color="auto"/>
            </w:tcBorders>
            <w:shd w:val="clear" w:color="000000" w:fill="FFFFFF"/>
            <w:noWrap/>
            <w:vAlign w:val="bottom"/>
            <w:hideMark/>
          </w:tcPr>
          <w:p w14:paraId="13B8E8A6"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12</w:t>
            </w:r>
          </w:p>
        </w:tc>
      </w:tr>
      <w:tr w:rsidR="00CB32F5" w:rsidRPr="00CB32F5" w14:paraId="170DCCC6" w14:textId="77777777" w:rsidTr="00CB32F5">
        <w:trPr>
          <w:trHeight w:val="300"/>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2367015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17</w:t>
            </w:r>
          </w:p>
        </w:tc>
        <w:tc>
          <w:tcPr>
            <w:tcW w:w="3129" w:type="dxa"/>
            <w:tcBorders>
              <w:top w:val="nil"/>
              <w:left w:val="nil"/>
              <w:bottom w:val="single" w:sz="4" w:space="0" w:color="auto"/>
              <w:right w:val="single" w:sz="4" w:space="0" w:color="auto"/>
            </w:tcBorders>
            <w:shd w:val="clear" w:color="000000" w:fill="FFFFFF"/>
            <w:vAlign w:val="bottom"/>
            <w:hideMark/>
          </w:tcPr>
          <w:p w14:paraId="41AB2C24"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Ezy metalowe</w:t>
            </w:r>
          </w:p>
        </w:tc>
        <w:tc>
          <w:tcPr>
            <w:tcW w:w="7264" w:type="dxa"/>
            <w:tcBorders>
              <w:top w:val="nil"/>
              <w:left w:val="nil"/>
              <w:bottom w:val="single" w:sz="4" w:space="0" w:color="auto"/>
              <w:right w:val="single" w:sz="4" w:space="0" w:color="auto"/>
            </w:tcBorders>
            <w:shd w:val="clear" w:color="000000" w:fill="FFFFFF"/>
            <w:noWrap/>
            <w:vAlign w:val="bottom"/>
            <w:hideMark/>
          </w:tcPr>
          <w:p w14:paraId="5EC92A22"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Ezy bakteriologiczne niekalibrowane, z drutu kanthalowego, śr. 0,4 mm, oczko 4 mm</w:t>
            </w:r>
          </w:p>
        </w:tc>
        <w:tc>
          <w:tcPr>
            <w:tcW w:w="1584" w:type="dxa"/>
            <w:tcBorders>
              <w:top w:val="nil"/>
              <w:left w:val="nil"/>
              <w:bottom w:val="single" w:sz="4" w:space="0" w:color="auto"/>
              <w:right w:val="single" w:sz="4" w:space="0" w:color="auto"/>
            </w:tcBorders>
            <w:shd w:val="clear" w:color="000000" w:fill="FFFFFF"/>
            <w:noWrap/>
            <w:vAlign w:val="bottom"/>
            <w:hideMark/>
          </w:tcPr>
          <w:p w14:paraId="66623803"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 szt.</w:t>
            </w:r>
          </w:p>
        </w:tc>
        <w:tc>
          <w:tcPr>
            <w:tcW w:w="787" w:type="dxa"/>
            <w:tcBorders>
              <w:top w:val="nil"/>
              <w:left w:val="nil"/>
              <w:bottom w:val="single" w:sz="4" w:space="0" w:color="auto"/>
              <w:right w:val="single" w:sz="4" w:space="0" w:color="auto"/>
            </w:tcBorders>
            <w:shd w:val="clear" w:color="000000" w:fill="FFFFFF"/>
            <w:noWrap/>
            <w:vAlign w:val="bottom"/>
            <w:hideMark/>
          </w:tcPr>
          <w:p w14:paraId="610BA6E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4</w:t>
            </w:r>
          </w:p>
        </w:tc>
      </w:tr>
      <w:tr w:rsidR="00CB32F5" w:rsidRPr="00CB32F5" w14:paraId="1C61B6EF" w14:textId="77777777" w:rsidTr="00CB32F5">
        <w:trPr>
          <w:trHeight w:val="495"/>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14:paraId="077582E7" w14:textId="77777777" w:rsidR="00CB32F5" w:rsidRPr="00CB32F5" w:rsidRDefault="00CB32F5" w:rsidP="00CB32F5">
            <w:pPr>
              <w:spacing w:after="0" w:line="240" w:lineRule="auto"/>
              <w:jc w:val="right"/>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18</w:t>
            </w:r>
          </w:p>
        </w:tc>
        <w:tc>
          <w:tcPr>
            <w:tcW w:w="3129" w:type="dxa"/>
            <w:tcBorders>
              <w:top w:val="nil"/>
              <w:left w:val="nil"/>
              <w:bottom w:val="single" w:sz="4" w:space="0" w:color="auto"/>
              <w:right w:val="single" w:sz="4" w:space="0" w:color="auto"/>
            </w:tcBorders>
            <w:shd w:val="clear" w:color="000000" w:fill="FFFFFF"/>
            <w:noWrap/>
            <w:vAlign w:val="bottom"/>
            <w:hideMark/>
          </w:tcPr>
          <w:p w14:paraId="422B8985"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logo Biohazard</w:t>
            </w:r>
          </w:p>
        </w:tc>
        <w:tc>
          <w:tcPr>
            <w:tcW w:w="7264" w:type="dxa"/>
            <w:tcBorders>
              <w:top w:val="nil"/>
              <w:left w:val="nil"/>
              <w:bottom w:val="single" w:sz="4" w:space="0" w:color="auto"/>
              <w:right w:val="single" w:sz="4" w:space="0" w:color="auto"/>
            </w:tcBorders>
            <w:shd w:val="clear" w:color="000000" w:fill="FFFFFF"/>
            <w:vAlign w:val="bottom"/>
            <w:hideMark/>
          </w:tcPr>
          <w:p w14:paraId="1B479699" w14:textId="77777777" w:rsidR="00CB32F5" w:rsidRPr="00CB32F5" w:rsidRDefault="00CB32F5" w:rsidP="00CB32F5">
            <w:pPr>
              <w:spacing w:after="0" w:line="240" w:lineRule="auto"/>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Torebki z logo Biohazard 170 x 250 mm, z zamknięciem poprzez zaklejenie, z kieszenią na dokumenty</w:t>
            </w:r>
          </w:p>
        </w:tc>
        <w:tc>
          <w:tcPr>
            <w:tcW w:w="1584" w:type="dxa"/>
            <w:tcBorders>
              <w:top w:val="nil"/>
              <w:left w:val="nil"/>
              <w:bottom w:val="single" w:sz="4" w:space="0" w:color="auto"/>
              <w:right w:val="single" w:sz="4" w:space="0" w:color="auto"/>
            </w:tcBorders>
            <w:shd w:val="clear" w:color="000000" w:fill="FFFFFF"/>
            <w:noWrap/>
            <w:vAlign w:val="bottom"/>
            <w:hideMark/>
          </w:tcPr>
          <w:p w14:paraId="246938E9"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100 szt.</w:t>
            </w:r>
          </w:p>
        </w:tc>
        <w:tc>
          <w:tcPr>
            <w:tcW w:w="787" w:type="dxa"/>
            <w:tcBorders>
              <w:top w:val="nil"/>
              <w:left w:val="nil"/>
              <w:bottom w:val="single" w:sz="4" w:space="0" w:color="auto"/>
              <w:right w:val="single" w:sz="4" w:space="0" w:color="auto"/>
            </w:tcBorders>
            <w:shd w:val="clear" w:color="000000" w:fill="FFFFFF"/>
            <w:noWrap/>
            <w:vAlign w:val="bottom"/>
            <w:hideMark/>
          </w:tcPr>
          <w:p w14:paraId="73B90780" w14:textId="77777777" w:rsidR="00CB32F5" w:rsidRPr="00CB32F5" w:rsidRDefault="00CB32F5" w:rsidP="00CB32F5">
            <w:pPr>
              <w:spacing w:after="0" w:line="240" w:lineRule="auto"/>
              <w:jc w:val="center"/>
              <w:rPr>
                <w:rFonts w:ascii="Calibri" w:eastAsia="Times New Roman" w:hAnsi="Calibri" w:cs="Calibri"/>
                <w:color w:val="000000"/>
                <w:sz w:val="18"/>
                <w:szCs w:val="18"/>
                <w:lang w:eastAsia="pl-PL"/>
              </w:rPr>
            </w:pPr>
            <w:r w:rsidRPr="00CB32F5">
              <w:rPr>
                <w:rFonts w:ascii="Calibri" w:eastAsia="Times New Roman" w:hAnsi="Calibri" w:cs="Calibri"/>
                <w:color w:val="000000"/>
                <w:sz w:val="18"/>
                <w:szCs w:val="18"/>
                <w:lang w:eastAsia="pl-PL"/>
              </w:rPr>
              <w:t>5</w:t>
            </w:r>
          </w:p>
        </w:tc>
      </w:tr>
      <w:tr w:rsidR="00CB32F5" w:rsidRPr="00CB32F5" w14:paraId="09C237DB" w14:textId="77777777" w:rsidTr="00CB32F5">
        <w:trPr>
          <w:trHeight w:val="300"/>
        </w:trPr>
        <w:tc>
          <w:tcPr>
            <w:tcW w:w="626" w:type="dxa"/>
            <w:tcBorders>
              <w:top w:val="nil"/>
              <w:left w:val="nil"/>
              <w:bottom w:val="nil"/>
              <w:right w:val="nil"/>
            </w:tcBorders>
            <w:shd w:val="clear" w:color="auto" w:fill="auto"/>
            <w:noWrap/>
            <w:vAlign w:val="bottom"/>
            <w:hideMark/>
          </w:tcPr>
          <w:p w14:paraId="2E6A2611" w14:textId="77777777" w:rsidR="00CB32F5" w:rsidRPr="00CB32F5" w:rsidRDefault="00CB32F5" w:rsidP="00CB32F5">
            <w:pPr>
              <w:spacing w:after="0" w:line="240" w:lineRule="auto"/>
              <w:jc w:val="center"/>
              <w:rPr>
                <w:rFonts w:ascii="Calibri" w:eastAsia="Times New Roman" w:hAnsi="Calibri" w:cs="Calibri"/>
                <w:color w:val="000000"/>
                <w:lang w:eastAsia="pl-PL"/>
              </w:rPr>
            </w:pPr>
          </w:p>
        </w:tc>
        <w:tc>
          <w:tcPr>
            <w:tcW w:w="3129" w:type="dxa"/>
            <w:tcBorders>
              <w:top w:val="nil"/>
              <w:left w:val="nil"/>
              <w:bottom w:val="nil"/>
              <w:right w:val="nil"/>
            </w:tcBorders>
            <w:shd w:val="clear" w:color="auto" w:fill="auto"/>
            <w:vAlign w:val="bottom"/>
            <w:hideMark/>
          </w:tcPr>
          <w:p w14:paraId="394317C4"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264" w:type="dxa"/>
            <w:tcBorders>
              <w:top w:val="nil"/>
              <w:left w:val="nil"/>
              <w:bottom w:val="nil"/>
              <w:right w:val="nil"/>
            </w:tcBorders>
            <w:shd w:val="clear" w:color="auto" w:fill="auto"/>
            <w:vAlign w:val="bottom"/>
            <w:hideMark/>
          </w:tcPr>
          <w:p w14:paraId="5DF39FE1"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1584" w:type="dxa"/>
            <w:tcBorders>
              <w:top w:val="nil"/>
              <w:left w:val="nil"/>
              <w:bottom w:val="nil"/>
              <w:right w:val="nil"/>
            </w:tcBorders>
            <w:shd w:val="clear" w:color="auto" w:fill="auto"/>
            <w:noWrap/>
            <w:vAlign w:val="bottom"/>
            <w:hideMark/>
          </w:tcPr>
          <w:p w14:paraId="6649673C" w14:textId="77777777" w:rsidR="00CB32F5" w:rsidRPr="00CB32F5" w:rsidRDefault="00CB32F5" w:rsidP="00CB32F5">
            <w:pPr>
              <w:spacing w:after="0" w:line="240" w:lineRule="auto"/>
              <w:rPr>
                <w:rFonts w:ascii="Times New Roman" w:eastAsia="Times New Roman" w:hAnsi="Times New Roman" w:cs="Times New Roman"/>
                <w:sz w:val="20"/>
                <w:szCs w:val="20"/>
                <w:lang w:eastAsia="pl-PL"/>
              </w:rPr>
            </w:pPr>
          </w:p>
        </w:tc>
        <w:tc>
          <w:tcPr>
            <w:tcW w:w="787" w:type="dxa"/>
            <w:tcBorders>
              <w:top w:val="nil"/>
              <w:left w:val="nil"/>
              <w:bottom w:val="nil"/>
              <w:right w:val="nil"/>
            </w:tcBorders>
            <w:shd w:val="clear" w:color="auto" w:fill="auto"/>
            <w:noWrap/>
            <w:vAlign w:val="bottom"/>
            <w:hideMark/>
          </w:tcPr>
          <w:p w14:paraId="290A433D" w14:textId="77777777" w:rsidR="00CB32F5" w:rsidRPr="00CB32F5" w:rsidRDefault="00CB32F5" w:rsidP="00CB32F5">
            <w:pPr>
              <w:spacing w:after="0" w:line="240" w:lineRule="auto"/>
              <w:jc w:val="center"/>
              <w:rPr>
                <w:rFonts w:ascii="Times New Roman" w:eastAsia="Times New Roman" w:hAnsi="Times New Roman" w:cs="Times New Roman"/>
                <w:sz w:val="20"/>
                <w:szCs w:val="20"/>
                <w:lang w:eastAsia="pl-PL"/>
              </w:rPr>
            </w:pPr>
          </w:p>
        </w:tc>
      </w:tr>
    </w:tbl>
    <w:p w14:paraId="52F3E0C7" w14:textId="77777777" w:rsidR="00CB32F5" w:rsidRDefault="00CB32F5" w:rsidP="00CB32F5">
      <w:pPr>
        <w:ind w:hanging="993"/>
      </w:pPr>
    </w:p>
    <w:sectPr w:rsidR="00CB32F5" w:rsidSect="00CB32F5">
      <w:headerReference w:type="default" r:id="rId6"/>
      <w:footerReference w:type="default" r:id="rId7"/>
      <w:pgSz w:w="16838" w:h="11906" w:orient="landscape"/>
      <w:pgMar w:top="1418" w:right="67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0D11" w14:textId="77777777" w:rsidR="001D17AE" w:rsidRDefault="001D17AE" w:rsidP="00CB32F5">
      <w:pPr>
        <w:spacing w:after="0" w:line="240" w:lineRule="auto"/>
      </w:pPr>
      <w:r>
        <w:separator/>
      </w:r>
    </w:p>
  </w:endnote>
  <w:endnote w:type="continuationSeparator" w:id="0">
    <w:p w14:paraId="2D15AF0C" w14:textId="77777777" w:rsidR="001D17AE" w:rsidRDefault="001D17AE" w:rsidP="00CB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4C61" w14:textId="23919142" w:rsidR="00CB32F5" w:rsidRDefault="00CB32F5">
    <w:pPr>
      <w:pStyle w:val="Stopka"/>
    </w:pPr>
    <w:r>
      <w:rPr>
        <w:noProof/>
        <w:lang w:eastAsia="pl-PL"/>
      </w:rPr>
      <w:drawing>
        <wp:inline distT="0" distB="0" distL="0" distR="0" wp14:anchorId="227E5F34" wp14:editId="651719A4">
          <wp:extent cx="4105275" cy="381000"/>
          <wp:effectExtent l="0" t="0" r="9525" b="0"/>
          <wp:docPr id="2" name="Obraz 2" descr="logo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854D" w14:textId="77777777" w:rsidR="001D17AE" w:rsidRDefault="001D17AE" w:rsidP="00CB32F5">
      <w:pPr>
        <w:spacing w:after="0" w:line="240" w:lineRule="auto"/>
      </w:pPr>
      <w:r>
        <w:separator/>
      </w:r>
    </w:p>
  </w:footnote>
  <w:footnote w:type="continuationSeparator" w:id="0">
    <w:p w14:paraId="5D5203E4" w14:textId="77777777" w:rsidR="001D17AE" w:rsidRDefault="001D17AE" w:rsidP="00CB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9F6E" w14:textId="6516EC7C" w:rsidR="004E1D6B" w:rsidRPr="00ED28C9" w:rsidRDefault="004E1D6B" w:rsidP="004E1D6B">
    <w:pPr>
      <w:pStyle w:val="Nagwek"/>
      <w:rPr>
        <w:sz w:val="20"/>
        <w:szCs w:val="18"/>
      </w:rPr>
    </w:pPr>
    <w:r w:rsidRPr="00ED28C9">
      <w:rPr>
        <w:sz w:val="20"/>
        <w:szCs w:val="18"/>
      </w:rPr>
      <w:t>WB-372/IM/Z-30/22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F5"/>
    <w:rsid w:val="00066DF1"/>
    <w:rsid w:val="001D17AE"/>
    <w:rsid w:val="0031431D"/>
    <w:rsid w:val="00403FB1"/>
    <w:rsid w:val="004E1D6B"/>
    <w:rsid w:val="005E0D7D"/>
    <w:rsid w:val="00811E43"/>
    <w:rsid w:val="0093245F"/>
    <w:rsid w:val="009E4088"/>
    <w:rsid w:val="00B02822"/>
    <w:rsid w:val="00CB32F5"/>
    <w:rsid w:val="00E63D1D"/>
    <w:rsid w:val="00EB6C2E"/>
    <w:rsid w:val="00FC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DC035"/>
  <w15:chartTrackingRefBased/>
  <w15:docId w15:val="{74D4C7F5-E3D1-4090-AA7F-F429C54D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32F5"/>
    <w:rPr>
      <w:color w:val="0563C1"/>
      <w:u w:val="single"/>
    </w:rPr>
  </w:style>
  <w:style w:type="character" w:styleId="UyteHipercze">
    <w:name w:val="FollowedHyperlink"/>
    <w:basedOn w:val="Domylnaczcionkaakapitu"/>
    <w:uiPriority w:val="99"/>
    <w:semiHidden/>
    <w:unhideWhenUsed/>
    <w:rsid w:val="00CB32F5"/>
    <w:rPr>
      <w:color w:val="954F72"/>
      <w:u w:val="single"/>
    </w:rPr>
  </w:style>
  <w:style w:type="paragraph" w:customStyle="1" w:styleId="msonormal0">
    <w:name w:val="msonormal"/>
    <w:basedOn w:val="Normalny"/>
    <w:rsid w:val="00CB32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CB32F5"/>
    <w:pPr>
      <w:spacing w:before="100" w:beforeAutospacing="1" w:after="100" w:afterAutospacing="1" w:line="240" w:lineRule="auto"/>
    </w:pPr>
    <w:rPr>
      <w:rFonts w:ascii="Calibri" w:eastAsia="Times New Roman" w:hAnsi="Calibri" w:cs="Calibri"/>
      <w:color w:val="000000"/>
      <w:sz w:val="18"/>
      <w:szCs w:val="18"/>
      <w:lang w:eastAsia="pl-PL"/>
    </w:rPr>
  </w:style>
  <w:style w:type="paragraph" w:customStyle="1" w:styleId="font6">
    <w:name w:val="font6"/>
    <w:basedOn w:val="Normalny"/>
    <w:rsid w:val="00CB32F5"/>
    <w:pPr>
      <w:spacing w:before="100" w:beforeAutospacing="1" w:after="100" w:afterAutospacing="1" w:line="240" w:lineRule="auto"/>
    </w:pPr>
    <w:rPr>
      <w:rFonts w:ascii="Calibri" w:eastAsia="Times New Roman" w:hAnsi="Calibri" w:cs="Calibri"/>
      <w:color w:val="000000"/>
      <w:sz w:val="18"/>
      <w:szCs w:val="18"/>
      <w:lang w:eastAsia="pl-PL"/>
    </w:rPr>
  </w:style>
  <w:style w:type="paragraph" w:customStyle="1" w:styleId="font7">
    <w:name w:val="font7"/>
    <w:basedOn w:val="Normalny"/>
    <w:rsid w:val="00CB32F5"/>
    <w:pPr>
      <w:spacing w:before="100" w:beforeAutospacing="1" w:after="100" w:afterAutospacing="1" w:line="240" w:lineRule="auto"/>
    </w:pPr>
    <w:rPr>
      <w:rFonts w:ascii="Calibri" w:eastAsia="Times New Roman" w:hAnsi="Calibri" w:cs="Calibri"/>
      <w:color w:val="000000"/>
      <w:sz w:val="18"/>
      <w:szCs w:val="18"/>
      <w:lang w:eastAsia="pl-PL"/>
    </w:rPr>
  </w:style>
  <w:style w:type="paragraph" w:customStyle="1" w:styleId="font8">
    <w:name w:val="font8"/>
    <w:basedOn w:val="Normalny"/>
    <w:rsid w:val="00CB32F5"/>
    <w:pPr>
      <w:spacing w:before="100" w:beforeAutospacing="1" w:after="100" w:afterAutospacing="1" w:line="240" w:lineRule="auto"/>
    </w:pPr>
    <w:rPr>
      <w:rFonts w:ascii="Calibri" w:eastAsia="Times New Roman" w:hAnsi="Calibri" w:cs="Calibri"/>
      <w:i/>
      <w:iCs/>
      <w:color w:val="000000"/>
      <w:sz w:val="18"/>
      <w:szCs w:val="18"/>
      <w:lang w:eastAsia="pl-PL"/>
    </w:rPr>
  </w:style>
  <w:style w:type="paragraph" w:customStyle="1" w:styleId="font9">
    <w:name w:val="font9"/>
    <w:basedOn w:val="Normalny"/>
    <w:rsid w:val="00CB32F5"/>
    <w:pPr>
      <w:spacing w:before="100" w:beforeAutospacing="1" w:after="100" w:afterAutospacing="1" w:line="240" w:lineRule="auto"/>
    </w:pPr>
    <w:rPr>
      <w:rFonts w:ascii="Calibri" w:eastAsia="Times New Roman" w:hAnsi="Calibri" w:cs="Calibri"/>
      <w:color w:val="000000"/>
      <w:sz w:val="18"/>
      <w:szCs w:val="18"/>
      <w:lang w:eastAsia="pl-PL"/>
    </w:rPr>
  </w:style>
  <w:style w:type="paragraph" w:customStyle="1" w:styleId="xl65">
    <w:name w:val="xl65"/>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6">
    <w:name w:val="xl66"/>
    <w:basedOn w:val="Normalny"/>
    <w:rsid w:val="00CB32F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7">
    <w:name w:val="xl67"/>
    <w:basedOn w:val="Normalny"/>
    <w:rsid w:val="00CB32F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8">
    <w:name w:val="xl68"/>
    <w:basedOn w:val="Normalny"/>
    <w:rsid w:val="00CB32F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ny"/>
    <w:rsid w:val="00CB32F5"/>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72">
    <w:name w:val="xl72"/>
    <w:basedOn w:val="Normalny"/>
    <w:rsid w:val="00CB32F5"/>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3">
    <w:name w:val="xl73"/>
    <w:basedOn w:val="Normalny"/>
    <w:rsid w:val="00CB32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CB32F5"/>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CB32F5"/>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ny"/>
    <w:rsid w:val="00CB32F5"/>
    <w:pPr>
      <w:pBdr>
        <w:top w:val="single" w:sz="4" w:space="0" w:color="auto"/>
        <w:bottom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80">
    <w:name w:val="xl80"/>
    <w:basedOn w:val="Normalny"/>
    <w:rsid w:val="00CB32F5"/>
    <w:pPr>
      <w:pBdr>
        <w:top w:val="single" w:sz="4" w:space="0" w:color="auto"/>
        <w:bottom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81">
    <w:name w:val="xl81"/>
    <w:basedOn w:val="Normalny"/>
    <w:rsid w:val="00CB32F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2">
    <w:name w:val="xl82"/>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3">
    <w:name w:val="xl83"/>
    <w:basedOn w:val="Normalny"/>
    <w:rsid w:val="00CB32F5"/>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4">
    <w:name w:val="xl84"/>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CB32F5"/>
    <w:pP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86">
    <w:name w:val="xl86"/>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7">
    <w:name w:val="xl87"/>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8">
    <w:name w:val="xl88"/>
    <w:basedOn w:val="Normalny"/>
    <w:rsid w:val="00CB32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9">
    <w:name w:val="xl89"/>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0">
    <w:name w:val="xl90"/>
    <w:basedOn w:val="Normalny"/>
    <w:rsid w:val="00CB32F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1">
    <w:name w:val="xl91"/>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2">
    <w:name w:val="xl92"/>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3">
    <w:name w:val="xl93"/>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4">
    <w:name w:val="xl94"/>
    <w:basedOn w:val="Normalny"/>
    <w:rsid w:val="00CB32F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5">
    <w:name w:val="xl95"/>
    <w:basedOn w:val="Normalny"/>
    <w:rsid w:val="00CB32F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CB32F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99">
    <w:name w:val="xl99"/>
    <w:basedOn w:val="Normalny"/>
    <w:rsid w:val="00CB32F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CB32F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2">
    <w:name w:val="xl102"/>
    <w:basedOn w:val="Normalny"/>
    <w:rsid w:val="00CB32F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3">
    <w:name w:val="xl103"/>
    <w:basedOn w:val="Normalny"/>
    <w:rsid w:val="00CB32F5"/>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CB32F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5">
    <w:name w:val="xl105"/>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6">
    <w:name w:val="xl106"/>
    <w:basedOn w:val="Normalny"/>
    <w:rsid w:val="00CB32F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7">
    <w:name w:val="xl107"/>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9">
    <w:name w:val="xl109"/>
    <w:basedOn w:val="Normalny"/>
    <w:rsid w:val="00CB32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0">
    <w:name w:val="xl110"/>
    <w:basedOn w:val="Normalny"/>
    <w:rsid w:val="00CB32F5"/>
    <w:pP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1">
    <w:name w:val="xl111"/>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2">
    <w:name w:val="xl112"/>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3">
    <w:name w:val="xl113"/>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4">
    <w:name w:val="xl114"/>
    <w:basedOn w:val="Normalny"/>
    <w:rsid w:val="00CB32F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5">
    <w:name w:val="xl115"/>
    <w:basedOn w:val="Normalny"/>
    <w:rsid w:val="00CB32F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16">
    <w:name w:val="xl116"/>
    <w:basedOn w:val="Normalny"/>
    <w:rsid w:val="00CB32F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7">
    <w:name w:val="xl117"/>
    <w:basedOn w:val="Normalny"/>
    <w:rsid w:val="00CB3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8">
    <w:name w:val="xl118"/>
    <w:basedOn w:val="Normalny"/>
    <w:rsid w:val="00CB32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CB32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styleId="Nagwek">
    <w:name w:val="header"/>
    <w:basedOn w:val="Normalny"/>
    <w:link w:val="NagwekZnak"/>
    <w:uiPriority w:val="99"/>
    <w:unhideWhenUsed/>
    <w:rsid w:val="00CB32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2F5"/>
  </w:style>
  <w:style w:type="paragraph" w:styleId="Stopka">
    <w:name w:val="footer"/>
    <w:basedOn w:val="Normalny"/>
    <w:link w:val="StopkaZnak"/>
    <w:uiPriority w:val="99"/>
    <w:unhideWhenUsed/>
    <w:rsid w:val="00CB32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5108">
      <w:bodyDiv w:val="1"/>
      <w:marLeft w:val="0"/>
      <w:marRight w:val="0"/>
      <w:marTop w:val="0"/>
      <w:marBottom w:val="0"/>
      <w:divBdr>
        <w:top w:val="none" w:sz="0" w:space="0" w:color="auto"/>
        <w:left w:val="none" w:sz="0" w:space="0" w:color="auto"/>
        <w:bottom w:val="none" w:sz="0" w:space="0" w:color="auto"/>
        <w:right w:val="none" w:sz="0" w:space="0" w:color="auto"/>
      </w:divBdr>
    </w:div>
    <w:div w:id="8185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8664</Words>
  <Characters>51984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dc:creator>
  <cp:keywords/>
  <dc:description/>
  <cp:lastModifiedBy>Anna P.</cp:lastModifiedBy>
  <cp:revision>7</cp:revision>
  <cp:lastPrinted>2022-11-16T08:39:00Z</cp:lastPrinted>
  <dcterms:created xsi:type="dcterms:W3CDTF">2022-10-21T09:31:00Z</dcterms:created>
  <dcterms:modified xsi:type="dcterms:W3CDTF">2022-12-21T12:26:00Z</dcterms:modified>
</cp:coreProperties>
</file>